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23CA" w:rsidRPr="00923740" w:rsidRDefault="002D23CA" w:rsidP="002D23C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INTRATREK ZIMBABWE PRIVATE LIMITED </w:t>
      </w:r>
    </w:p>
    <w:p w:rsidR="002D23CA" w:rsidRPr="00923740" w:rsidRDefault="002D23CA" w:rsidP="002D23CA">
      <w:pPr>
        <w:spacing w:after="0" w:line="240" w:lineRule="auto"/>
        <w:rPr>
          <w:rFonts w:ascii="Times New Roman" w:hAnsi="Times New Roman" w:cs="Times New Roman"/>
          <w:sz w:val="24"/>
          <w:szCs w:val="24"/>
        </w:rPr>
      </w:pPr>
      <w:r>
        <w:rPr>
          <w:rFonts w:ascii="Times New Roman" w:hAnsi="Times New Roman" w:cs="Times New Roman"/>
          <w:sz w:val="24"/>
          <w:szCs w:val="24"/>
        </w:rPr>
        <w:t>v</w:t>
      </w:r>
      <w:r w:rsidRPr="00923740">
        <w:rPr>
          <w:rFonts w:ascii="Times New Roman" w:hAnsi="Times New Roman" w:cs="Times New Roman"/>
          <w:sz w:val="24"/>
          <w:szCs w:val="24"/>
        </w:rPr>
        <w:t xml:space="preserve">ersus </w:t>
      </w:r>
    </w:p>
    <w:p w:rsidR="002D23CA" w:rsidRDefault="002D23CA" w:rsidP="002D23CA">
      <w:pPr>
        <w:spacing w:after="0" w:line="240" w:lineRule="auto"/>
        <w:rPr>
          <w:rFonts w:ascii="Times New Roman" w:hAnsi="Times New Roman" w:cs="Times New Roman"/>
          <w:sz w:val="24"/>
          <w:szCs w:val="24"/>
        </w:rPr>
      </w:pPr>
      <w:r>
        <w:rPr>
          <w:rFonts w:ascii="Times New Roman" w:hAnsi="Times New Roman" w:cs="Times New Roman"/>
          <w:sz w:val="24"/>
          <w:szCs w:val="24"/>
        </w:rPr>
        <w:t>ZIMBABWE POWER COMPANY PRIVATE LIMITED</w:t>
      </w:r>
    </w:p>
    <w:p w:rsidR="002D23CA" w:rsidRDefault="002D23CA" w:rsidP="002D23CA">
      <w:pPr>
        <w:spacing w:after="0" w:line="240" w:lineRule="auto"/>
        <w:rPr>
          <w:rFonts w:ascii="Times New Roman" w:hAnsi="Times New Roman" w:cs="Times New Roman"/>
          <w:sz w:val="24"/>
          <w:szCs w:val="24"/>
        </w:rPr>
      </w:pPr>
    </w:p>
    <w:p w:rsidR="002D23CA" w:rsidRDefault="002D23CA" w:rsidP="002D23CA">
      <w:pPr>
        <w:spacing w:after="0" w:line="240" w:lineRule="auto"/>
        <w:rPr>
          <w:rFonts w:ascii="Times New Roman" w:hAnsi="Times New Roman" w:cs="Times New Roman"/>
          <w:sz w:val="24"/>
          <w:szCs w:val="24"/>
        </w:rPr>
      </w:pPr>
    </w:p>
    <w:p w:rsidR="002D23CA" w:rsidRPr="002B389B" w:rsidRDefault="002D23CA" w:rsidP="002D23CA">
      <w:pPr>
        <w:spacing w:after="0" w:line="240" w:lineRule="auto"/>
        <w:rPr>
          <w:rFonts w:ascii="Times New Roman" w:hAnsi="Times New Roman" w:cs="Times New Roman"/>
          <w:sz w:val="24"/>
          <w:szCs w:val="24"/>
        </w:rPr>
      </w:pPr>
      <w:r w:rsidRPr="002B389B">
        <w:rPr>
          <w:rFonts w:ascii="Times New Roman" w:hAnsi="Times New Roman" w:cs="Times New Roman"/>
          <w:sz w:val="24"/>
          <w:szCs w:val="24"/>
        </w:rPr>
        <w:t>HIGH COURT OF ZIMBABWE</w:t>
      </w:r>
    </w:p>
    <w:p w:rsidR="002D23CA" w:rsidRPr="002B389B" w:rsidRDefault="002D23CA" w:rsidP="002D23C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CHITAPI  </w:t>
      </w:r>
      <w:r w:rsidRPr="002B389B">
        <w:rPr>
          <w:rFonts w:ascii="Times New Roman" w:hAnsi="Times New Roman" w:cs="Times New Roman"/>
          <w:sz w:val="24"/>
          <w:szCs w:val="24"/>
        </w:rPr>
        <w:t>J</w:t>
      </w:r>
    </w:p>
    <w:p w:rsidR="002D23CA" w:rsidRDefault="002D23CA" w:rsidP="002D23CA">
      <w:pPr>
        <w:spacing w:after="0" w:line="240" w:lineRule="auto"/>
        <w:rPr>
          <w:rFonts w:ascii="Times New Roman" w:hAnsi="Times New Roman" w:cs="Times New Roman"/>
          <w:sz w:val="24"/>
          <w:szCs w:val="24"/>
        </w:rPr>
      </w:pPr>
      <w:r w:rsidRPr="002B389B">
        <w:rPr>
          <w:rFonts w:ascii="Times New Roman" w:hAnsi="Times New Roman" w:cs="Times New Roman"/>
          <w:sz w:val="24"/>
          <w:szCs w:val="24"/>
        </w:rPr>
        <w:t>HARARE,</w:t>
      </w:r>
      <w:r w:rsidR="005E0B01">
        <w:rPr>
          <w:rFonts w:ascii="Times New Roman" w:hAnsi="Times New Roman" w:cs="Times New Roman"/>
          <w:sz w:val="24"/>
          <w:szCs w:val="24"/>
        </w:rPr>
        <w:t xml:space="preserve"> 26 November2018, 6 December 2018 &amp; 13 December</w:t>
      </w:r>
      <w:r>
        <w:rPr>
          <w:rFonts w:ascii="Times New Roman" w:hAnsi="Times New Roman" w:cs="Times New Roman"/>
          <w:sz w:val="24"/>
          <w:szCs w:val="24"/>
        </w:rPr>
        <w:t xml:space="preserve"> 2018</w:t>
      </w:r>
    </w:p>
    <w:p w:rsidR="002D23CA" w:rsidRDefault="002D23CA" w:rsidP="002D23CA">
      <w:pPr>
        <w:spacing w:after="0" w:line="240" w:lineRule="auto"/>
        <w:rPr>
          <w:rFonts w:ascii="Times New Roman" w:hAnsi="Times New Roman" w:cs="Times New Roman"/>
          <w:b/>
          <w:sz w:val="24"/>
          <w:szCs w:val="24"/>
        </w:rPr>
      </w:pPr>
    </w:p>
    <w:p w:rsidR="002D23CA" w:rsidRDefault="002D23CA" w:rsidP="002D23CA">
      <w:pPr>
        <w:spacing w:after="0" w:line="240" w:lineRule="auto"/>
        <w:rPr>
          <w:rFonts w:ascii="Times New Roman" w:hAnsi="Times New Roman" w:cs="Times New Roman"/>
          <w:b/>
          <w:sz w:val="24"/>
          <w:szCs w:val="24"/>
        </w:rPr>
      </w:pPr>
    </w:p>
    <w:p w:rsidR="002D23CA" w:rsidRPr="002B389B" w:rsidRDefault="002D23CA" w:rsidP="002D23CA">
      <w:pPr>
        <w:spacing w:after="0" w:line="240" w:lineRule="auto"/>
        <w:rPr>
          <w:rFonts w:ascii="Times New Roman" w:hAnsi="Times New Roman" w:cs="Times New Roman"/>
          <w:b/>
          <w:sz w:val="24"/>
          <w:szCs w:val="24"/>
        </w:rPr>
      </w:pPr>
      <w:r>
        <w:rPr>
          <w:rFonts w:ascii="Times New Roman" w:hAnsi="Times New Roman" w:cs="Times New Roman"/>
          <w:b/>
          <w:sz w:val="24"/>
          <w:szCs w:val="24"/>
        </w:rPr>
        <w:t>Opposed Application</w:t>
      </w:r>
    </w:p>
    <w:p w:rsidR="002D23CA" w:rsidRDefault="002D23CA" w:rsidP="002D23CA">
      <w:pPr>
        <w:spacing w:after="0" w:line="240" w:lineRule="auto"/>
        <w:rPr>
          <w:rFonts w:ascii="Times New Roman" w:hAnsi="Times New Roman" w:cs="Times New Roman"/>
          <w:i/>
          <w:sz w:val="24"/>
          <w:szCs w:val="24"/>
        </w:rPr>
      </w:pPr>
    </w:p>
    <w:p w:rsidR="002D23CA" w:rsidRDefault="002D23CA" w:rsidP="002D23CA">
      <w:pPr>
        <w:spacing w:after="0" w:line="240" w:lineRule="auto"/>
        <w:rPr>
          <w:rFonts w:ascii="Times New Roman" w:hAnsi="Times New Roman" w:cs="Times New Roman"/>
          <w:i/>
          <w:sz w:val="24"/>
          <w:szCs w:val="24"/>
        </w:rPr>
      </w:pPr>
    </w:p>
    <w:p w:rsidR="002D23CA" w:rsidRPr="002B389B" w:rsidRDefault="002D23CA" w:rsidP="002D23CA">
      <w:pPr>
        <w:spacing w:after="0" w:line="240" w:lineRule="auto"/>
        <w:rPr>
          <w:rFonts w:ascii="Times New Roman" w:hAnsi="Times New Roman" w:cs="Times New Roman"/>
          <w:sz w:val="24"/>
          <w:szCs w:val="24"/>
        </w:rPr>
      </w:pPr>
      <w:r>
        <w:rPr>
          <w:rFonts w:ascii="Times New Roman" w:hAnsi="Times New Roman" w:cs="Times New Roman"/>
          <w:i/>
          <w:sz w:val="24"/>
          <w:szCs w:val="24"/>
        </w:rPr>
        <w:t>L Uriri, for the Applicant</w:t>
      </w:r>
      <w:r>
        <w:rPr>
          <w:rFonts w:ascii="Times New Roman" w:hAnsi="Times New Roman" w:cs="Times New Roman"/>
          <w:sz w:val="24"/>
          <w:szCs w:val="24"/>
        </w:rPr>
        <w:t xml:space="preserve"> </w:t>
      </w:r>
    </w:p>
    <w:p w:rsidR="002D23CA" w:rsidRPr="002B389B" w:rsidRDefault="002D23CA" w:rsidP="002D23CA">
      <w:pPr>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T S Manjengwa, </w:t>
      </w:r>
      <w:r w:rsidRPr="002B389B">
        <w:rPr>
          <w:rFonts w:ascii="Times New Roman" w:hAnsi="Times New Roman" w:cs="Times New Roman"/>
          <w:sz w:val="24"/>
          <w:szCs w:val="24"/>
        </w:rPr>
        <w:t xml:space="preserve">for </w:t>
      </w:r>
      <w:r>
        <w:rPr>
          <w:rFonts w:ascii="Times New Roman" w:hAnsi="Times New Roman" w:cs="Times New Roman"/>
          <w:sz w:val="24"/>
          <w:szCs w:val="24"/>
        </w:rPr>
        <w:t>respondent</w:t>
      </w:r>
    </w:p>
    <w:p w:rsidR="002D23CA" w:rsidRDefault="002D23CA" w:rsidP="002D23CA"/>
    <w:p w:rsidR="002D23CA" w:rsidRDefault="002D23CA" w:rsidP="002D23CA"/>
    <w:p w:rsidR="004E1E86" w:rsidRDefault="002D23CA" w:rsidP="00582621">
      <w:pPr>
        <w:spacing w:after="0" w:line="360" w:lineRule="auto"/>
        <w:ind w:firstLine="720"/>
        <w:jc w:val="both"/>
        <w:rPr>
          <w:rFonts w:ascii="Times New Roman" w:hAnsi="Times New Roman" w:cs="Times New Roman"/>
          <w:sz w:val="24"/>
          <w:szCs w:val="24"/>
        </w:rPr>
      </w:pPr>
      <w:r w:rsidRPr="00923740">
        <w:rPr>
          <w:rFonts w:ascii="Times New Roman" w:hAnsi="Times New Roman" w:cs="Times New Roman"/>
          <w:sz w:val="24"/>
          <w:szCs w:val="24"/>
        </w:rPr>
        <w:t>CHITAPI J</w:t>
      </w:r>
      <w:r>
        <w:rPr>
          <w:rFonts w:ascii="Times New Roman" w:hAnsi="Times New Roman" w:cs="Times New Roman"/>
          <w:sz w:val="24"/>
          <w:szCs w:val="24"/>
        </w:rPr>
        <w:t xml:space="preserve">: At the commencement of the hearing, Mr </w:t>
      </w:r>
      <w:r w:rsidRPr="00582621">
        <w:rPr>
          <w:rFonts w:ascii="Times New Roman" w:hAnsi="Times New Roman" w:cs="Times New Roman"/>
          <w:i/>
          <w:sz w:val="24"/>
          <w:szCs w:val="24"/>
        </w:rPr>
        <w:t>Uriri</w:t>
      </w:r>
      <w:r>
        <w:rPr>
          <w:rFonts w:ascii="Times New Roman" w:hAnsi="Times New Roman" w:cs="Times New Roman"/>
          <w:sz w:val="24"/>
          <w:szCs w:val="24"/>
        </w:rPr>
        <w:t xml:space="preserve"> for the applicant applied to amend the applicant’s draft order with the consent of Mr </w:t>
      </w:r>
      <w:r w:rsidRPr="00582621">
        <w:rPr>
          <w:rFonts w:ascii="Times New Roman" w:hAnsi="Times New Roman" w:cs="Times New Roman"/>
          <w:i/>
          <w:sz w:val="24"/>
          <w:szCs w:val="24"/>
        </w:rPr>
        <w:t>Manjengwa</w:t>
      </w:r>
      <w:r>
        <w:rPr>
          <w:rFonts w:ascii="Times New Roman" w:hAnsi="Times New Roman" w:cs="Times New Roman"/>
          <w:sz w:val="24"/>
          <w:szCs w:val="24"/>
        </w:rPr>
        <w:t xml:space="preserve"> for the respondent. The prayer in the draft order was accordingly deleted and substituted as follows:</w:t>
      </w:r>
    </w:p>
    <w:p w:rsidR="002D23CA" w:rsidRDefault="002D23CA" w:rsidP="00582621">
      <w:pPr>
        <w:spacing w:after="0"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It is hereby declared that procurement contract No. ZPC 304/2015 dated 23 October, 2015 between the applicant and the respondent is valid and binding between the parties.</w:t>
      </w:r>
    </w:p>
    <w:p w:rsidR="002D23CA" w:rsidRDefault="002D23CA" w:rsidP="00582621">
      <w:pPr>
        <w:spacing w:after="0"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Consequent on the declaration of validity of the contract, a decree of specific performance be and is hereby issued.</w:t>
      </w:r>
    </w:p>
    <w:p w:rsidR="002D23CA" w:rsidRDefault="002D23CA" w:rsidP="00582621">
      <w:pPr>
        <w:spacing w:after="0"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The conditions precedent the satisfaction period are deemed to have ben tac</w:t>
      </w:r>
      <w:r w:rsidR="00582621">
        <w:rPr>
          <w:rFonts w:ascii="Times New Roman" w:hAnsi="Times New Roman" w:cs="Times New Roman"/>
          <w:sz w:val="24"/>
          <w:szCs w:val="24"/>
        </w:rPr>
        <w:t>i</w:t>
      </w:r>
      <w:r>
        <w:rPr>
          <w:rFonts w:ascii="Times New Roman" w:hAnsi="Times New Roman" w:cs="Times New Roman"/>
          <w:sz w:val="24"/>
          <w:szCs w:val="24"/>
        </w:rPr>
        <w:t>tly relocated for a period of 24 months from the date of this order.</w:t>
      </w:r>
    </w:p>
    <w:p w:rsidR="002D23CA" w:rsidRDefault="002D23CA" w:rsidP="0058262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The respondent shall bear the costs of the application.</w:t>
      </w:r>
    </w:p>
    <w:p w:rsidR="002D23CA" w:rsidRDefault="002D23CA" w:rsidP="0058262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consequence</w:t>
      </w:r>
      <w:r w:rsidR="00A02E18">
        <w:rPr>
          <w:rFonts w:ascii="Times New Roman" w:hAnsi="Times New Roman" w:cs="Times New Roman"/>
          <w:sz w:val="24"/>
          <w:szCs w:val="24"/>
        </w:rPr>
        <w:t xml:space="preserve"> of the above amendments, Mr Manjengwa sought clarification from the applicants’ counsel Mr </w:t>
      </w:r>
      <w:r w:rsidR="00A02E18" w:rsidRPr="00582621">
        <w:rPr>
          <w:rFonts w:ascii="Times New Roman" w:hAnsi="Times New Roman" w:cs="Times New Roman"/>
          <w:i/>
          <w:sz w:val="24"/>
          <w:szCs w:val="24"/>
        </w:rPr>
        <w:t>Uriri</w:t>
      </w:r>
      <w:r w:rsidR="00A02E18">
        <w:rPr>
          <w:rFonts w:ascii="Times New Roman" w:hAnsi="Times New Roman" w:cs="Times New Roman"/>
          <w:sz w:val="24"/>
          <w:szCs w:val="24"/>
        </w:rPr>
        <w:t xml:space="preserve"> whether or not the claims for payment to subscontractors of the Applicant by the Defendant and damages of $25 million for the breach of contract</w:t>
      </w:r>
      <w:r w:rsidR="005E0B01">
        <w:rPr>
          <w:rFonts w:ascii="Times New Roman" w:hAnsi="Times New Roman" w:cs="Times New Roman"/>
          <w:sz w:val="24"/>
          <w:szCs w:val="24"/>
        </w:rPr>
        <w:t xml:space="preserve"> were being pursued</w:t>
      </w:r>
      <w:r w:rsidR="00A02E18">
        <w:rPr>
          <w:rFonts w:ascii="Times New Roman" w:hAnsi="Times New Roman" w:cs="Times New Roman"/>
          <w:sz w:val="24"/>
          <w:szCs w:val="24"/>
        </w:rPr>
        <w:t xml:space="preserve">. Mr Manjengwa submitted that in the event that the claims were to be deemed abandoned, then the respondent would pray for costs relating to the two issues because a lot of work and resources had been expended on the issues by the respondent in opposing the claims. Mr </w:t>
      </w:r>
      <w:r w:rsidR="00A02E18" w:rsidRPr="00582621">
        <w:rPr>
          <w:rFonts w:ascii="Times New Roman" w:hAnsi="Times New Roman" w:cs="Times New Roman"/>
          <w:i/>
          <w:sz w:val="24"/>
          <w:szCs w:val="24"/>
        </w:rPr>
        <w:t>Uriri</w:t>
      </w:r>
      <w:r w:rsidR="00A02E18">
        <w:rPr>
          <w:rFonts w:ascii="Times New Roman" w:hAnsi="Times New Roman" w:cs="Times New Roman"/>
          <w:sz w:val="24"/>
          <w:szCs w:val="24"/>
        </w:rPr>
        <w:t xml:space="preserve"> submitted in response that the issues raised by Mr </w:t>
      </w:r>
      <w:r w:rsidR="00A02E18" w:rsidRPr="00582621">
        <w:rPr>
          <w:rFonts w:ascii="Times New Roman" w:hAnsi="Times New Roman" w:cs="Times New Roman"/>
          <w:i/>
          <w:sz w:val="24"/>
          <w:szCs w:val="24"/>
        </w:rPr>
        <w:t>Manjengwa</w:t>
      </w:r>
      <w:r w:rsidR="00A02E18">
        <w:rPr>
          <w:rFonts w:ascii="Times New Roman" w:hAnsi="Times New Roman" w:cs="Times New Roman"/>
          <w:sz w:val="24"/>
          <w:szCs w:val="24"/>
        </w:rPr>
        <w:t xml:space="preserve"> were matters of </w:t>
      </w:r>
      <w:r w:rsidR="00A02E18">
        <w:rPr>
          <w:rFonts w:ascii="Times New Roman" w:hAnsi="Times New Roman" w:cs="Times New Roman"/>
          <w:sz w:val="24"/>
          <w:szCs w:val="24"/>
        </w:rPr>
        <w:lastRenderedPageBreak/>
        <w:t>argument. He argued that the effect of the court making a declaration of the validity of the EPC cont</w:t>
      </w:r>
      <w:r w:rsidR="005E0B01">
        <w:rPr>
          <w:rFonts w:ascii="Times New Roman" w:hAnsi="Times New Roman" w:cs="Times New Roman"/>
          <w:sz w:val="24"/>
          <w:szCs w:val="24"/>
        </w:rPr>
        <w:t>r</w:t>
      </w:r>
      <w:r w:rsidR="00A02E18">
        <w:rPr>
          <w:rFonts w:ascii="Times New Roman" w:hAnsi="Times New Roman" w:cs="Times New Roman"/>
          <w:sz w:val="24"/>
          <w:szCs w:val="24"/>
        </w:rPr>
        <w:t>act would result in parties being expected and required to perform their obligations in terms thereof. Thus</w:t>
      </w:r>
      <w:r w:rsidR="005E0B01">
        <w:rPr>
          <w:rFonts w:ascii="Times New Roman" w:hAnsi="Times New Roman" w:cs="Times New Roman"/>
          <w:sz w:val="24"/>
          <w:szCs w:val="24"/>
        </w:rPr>
        <w:t>,</w:t>
      </w:r>
      <w:r w:rsidR="00A02E18">
        <w:rPr>
          <w:rFonts w:ascii="Times New Roman" w:hAnsi="Times New Roman" w:cs="Times New Roman"/>
          <w:sz w:val="24"/>
          <w:szCs w:val="24"/>
        </w:rPr>
        <w:t xml:space="preserve"> if payment to subcontractors was an obligation arising from the agreement, the court did not have to single out that obligation and order its performance although it was still within the discretion of the court to order specific performance and/or damages. I indicated that counsel were free to revisit the issues and address them during main arguments. I did not consider, that I need to give any ruling on the issues raised by Mr </w:t>
      </w:r>
      <w:r w:rsidR="00A02E18" w:rsidRPr="00582621">
        <w:rPr>
          <w:rFonts w:ascii="Times New Roman" w:hAnsi="Times New Roman" w:cs="Times New Roman"/>
          <w:i/>
          <w:sz w:val="24"/>
          <w:szCs w:val="24"/>
        </w:rPr>
        <w:t>Manjengwa</w:t>
      </w:r>
      <w:r w:rsidR="00A02E18">
        <w:rPr>
          <w:rFonts w:ascii="Times New Roman" w:hAnsi="Times New Roman" w:cs="Times New Roman"/>
          <w:sz w:val="24"/>
          <w:szCs w:val="24"/>
        </w:rPr>
        <w:t xml:space="preserve"> because in terms of order 32 rule of the High Court </w:t>
      </w:r>
      <w:r w:rsidR="00582621">
        <w:rPr>
          <w:rFonts w:ascii="Times New Roman" w:hAnsi="Times New Roman" w:cs="Times New Roman"/>
          <w:sz w:val="24"/>
          <w:szCs w:val="24"/>
        </w:rPr>
        <w:t xml:space="preserve"> Civil </w:t>
      </w:r>
      <w:r w:rsidR="00A02E18">
        <w:rPr>
          <w:rFonts w:ascii="Times New Roman" w:hAnsi="Times New Roman" w:cs="Times New Roman"/>
          <w:sz w:val="24"/>
          <w:szCs w:val="24"/>
        </w:rPr>
        <w:t xml:space="preserve">Rules 1971, the court </w:t>
      </w:r>
      <w:r w:rsidR="00582621">
        <w:rPr>
          <w:rFonts w:ascii="Times New Roman" w:hAnsi="Times New Roman" w:cs="Times New Roman"/>
          <w:sz w:val="24"/>
          <w:szCs w:val="24"/>
        </w:rPr>
        <w:t>h</w:t>
      </w:r>
      <w:r w:rsidR="00A02E18">
        <w:rPr>
          <w:rFonts w:ascii="Times New Roman" w:hAnsi="Times New Roman" w:cs="Times New Roman"/>
          <w:sz w:val="24"/>
          <w:szCs w:val="24"/>
        </w:rPr>
        <w:t xml:space="preserve">as a discretion in its judgment to refuse or grant the order applied for with or without variation. The court’s </w:t>
      </w:r>
      <w:r w:rsidR="006068C9">
        <w:rPr>
          <w:rFonts w:ascii="Times New Roman" w:hAnsi="Times New Roman" w:cs="Times New Roman"/>
          <w:sz w:val="24"/>
          <w:szCs w:val="24"/>
        </w:rPr>
        <w:t>powers in this regard may be exercised notwithstanding that general or other relief has not been specifically prayed for. Further</w:t>
      </w:r>
      <w:r w:rsidR="005E0B01">
        <w:rPr>
          <w:rFonts w:ascii="Times New Roman" w:hAnsi="Times New Roman" w:cs="Times New Roman"/>
          <w:sz w:val="24"/>
          <w:szCs w:val="24"/>
        </w:rPr>
        <w:t>,</w:t>
      </w:r>
      <w:r w:rsidR="006068C9">
        <w:rPr>
          <w:rFonts w:ascii="Times New Roman" w:hAnsi="Times New Roman" w:cs="Times New Roman"/>
          <w:sz w:val="24"/>
          <w:szCs w:val="24"/>
        </w:rPr>
        <w:t xml:space="preserve"> costs are in the discretion of the court and it therefore would not have made sense for me to give any ruling on costs relating to an alleged aban</w:t>
      </w:r>
      <w:r w:rsidR="00582621">
        <w:rPr>
          <w:rFonts w:ascii="Times New Roman" w:hAnsi="Times New Roman" w:cs="Times New Roman"/>
          <w:sz w:val="24"/>
          <w:szCs w:val="24"/>
        </w:rPr>
        <w:t>don</w:t>
      </w:r>
      <w:r w:rsidR="006068C9">
        <w:rPr>
          <w:rFonts w:ascii="Times New Roman" w:hAnsi="Times New Roman" w:cs="Times New Roman"/>
          <w:sz w:val="24"/>
          <w:szCs w:val="24"/>
        </w:rPr>
        <w:t>ment of part of the relief originally sought. Such a</w:t>
      </w:r>
      <w:r w:rsidR="00A602F6">
        <w:rPr>
          <w:rFonts w:ascii="Times New Roman" w:hAnsi="Times New Roman" w:cs="Times New Roman"/>
          <w:sz w:val="24"/>
          <w:szCs w:val="24"/>
        </w:rPr>
        <w:t>n</w:t>
      </w:r>
      <w:r w:rsidR="006068C9">
        <w:rPr>
          <w:rFonts w:ascii="Times New Roman" w:hAnsi="Times New Roman" w:cs="Times New Roman"/>
          <w:sz w:val="24"/>
          <w:szCs w:val="24"/>
        </w:rPr>
        <w:t xml:space="preserve"> order would amount to prejudging the matter. I directed that counsel shou</w:t>
      </w:r>
      <w:r w:rsidR="00A602F6">
        <w:rPr>
          <w:rFonts w:ascii="Times New Roman" w:hAnsi="Times New Roman" w:cs="Times New Roman"/>
          <w:sz w:val="24"/>
          <w:szCs w:val="24"/>
        </w:rPr>
        <w:t>l</w:t>
      </w:r>
      <w:r w:rsidR="006068C9">
        <w:rPr>
          <w:rFonts w:ascii="Times New Roman" w:hAnsi="Times New Roman" w:cs="Times New Roman"/>
          <w:sz w:val="24"/>
          <w:szCs w:val="24"/>
        </w:rPr>
        <w:t>d proceed to address the application.</w:t>
      </w:r>
    </w:p>
    <w:p w:rsidR="006068C9" w:rsidRPr="00A602F6" w:rsidRDefault="006068C9" w:rsidP="00582621">
      <w:pPr>
        <w:spacing w:after="0" w:line="360" w:lineRule="auto"/>
        <w:ind w:firstLine="720"/>
        <w:jc w:val="both"/>
        <w:rPr>
          <w:rFonts w:ascii="Times New Roman" w:hAnsi="Times New Roman" w:cs="Times New Roman"/>
          <w:sz w:val="24"/>
          <w:szCs w:val="24"/>
          <w:u w:val="single"/>
        </w:rPr>
      </w:pPr>
      <w:r w:rsidRPr="00A602F6">
        <w:rPr>
          <w:rFonts w:ascii="Times New Roman" w:hAnsi="Times New Roman" w:cs="Times New Roman"/>
          <w:sz w:val="24"/>
          <w:szCs w:val="24"/>
          <w:u w:val="single"/>
        </w:rPr>
        <w:t>Point In Limine</w:t>
      </w:r>
    </w:p>
    <w:p w:rsidR="006068C9" w:rsidRDefault="006068C9" w:rsidP="0058262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respondent in its opposing papers raised a point </w:t>
      </w:r>
      <w:r w:rsidRPr="00A602F6">
        <w:rPr>
          <w:rFonts w:ascii="Times New Roman" w:hAnsi="Times New Roman" w:cs="Times New Roman"/>
          <w:i/>
          <w:sz w:val="24"/>
          <w:szCs w:val="24"/>
        </w:rPr>
        <w:t>in li</w:t>
      </w:r>
      <w:r w:rsidR="00A602F6" w:rsidRPr="00A602F6">
        <w:rPr>
          <w:rFonts w:ascii="Times New Roman" w:hAnsi="Times New Roman" w:cs="Times New Roman"/>
          <w:i/>
          <w:sz w:val="24"/>
          <w:szCs w:val="24"/>
        </w:rPr>
        <w:t>mi</w:t>
      </w:r>
      <w:r w:rsidRPr="00A602F6">
        <w:rPr>
          <w:rFonts w:ascii="Times New Roman" w:hAnsi="Times New Roman" w:cs="Times New Roman"/>
          <w:i/>
          <w:sz w:val="24"/>
          <w:szCs w:val="24"/>
        </w:rPr>
        <w:t>ne</w:t>
      </w:r>
      <w:r>
        <w:rPr>
          <w:rFonts w:ascii="Times New Roman" w:hAnsi="Times New Roman" w:cs="Times New Roman"/>
          <w:sz w:val="24"/>
          <w:szCs w:val="24"/>
        </w:rPr>
        <w:t xml:space="preserve">. Mr </w:t>
      </w:r>
      <w:r w:rsidRPr="00A602F6">
        <w:rPr>
          <w:rFonts w:ascii="Times New Roman" w:hAnsi="Times New Roman" w:cs="Times New Roman"/>
          <w:i/>
          <w:sz w:val="24"/>
          <w:szCs w:val="24"/>
        </w:rPr>
        <w:t>Manjengwa</w:t>
      </w:r>
      <w:r>
        <w:rPr>
          <w:rFonts w:ascii="Times New Roman" w:hAnsi="Times New Roman" w:cs="Times New Roman"/>
          <w:sz w:val="24"/>
          <w:szCs w:val="24"/>
        </w:rPr>
        <w:t xml:space="preserve"> was given the </w:t>
      </w:r>
      <w:r w:rsidR="00A602F6">
        <w:rPr>
          <w:rFonts w:ascii="Times New Roman" w:hAnsi="Times New Roman" w:cs="Times New Roman"/>
          <w:sz w:val="24"/>
          <w:szCs w:val="24"/>
        </w:rPr>
        <w:t>o</w:t>
      </w:r>
      <w:r>
        <w:rPr>
          <w:rFonts w:ascii="Times New Roman" w:hAnsi="Times New Roman" w:cs="Times New Roman"/>
          <w:sz w:val="24"/>
          <w:szCs w:val="24"/>
        </w:rPr>
        <w:t>pportunity to addres</w:t>
      </w:r>
      <w:r w:rsidR="00450D32">
        <w:rPr>
          <w:rFonts w:ascii="Times New Roman" w:hAnsi="Times New Roman" w:cs="Times New Roman"/>
          <w:sz w:val="24"/>
          <w:szCs w:val="24"/>
        </w:rPr>
        <w:t>s</w:t>
      </w:r>
      <w:r>
        <w:rPr>
          <w:rFonts w:ascii="Times New Roman" w:hAnsi="Times New Roman" w:cs="Times New Roman"/>
          <w:sz w:val="24"/>
          <w:szCs w:val="24"/>
        </w:rPr>
        <w:t xml:space="preserve"> the court first on the point. Before he commenced argument, Mr </w:t>
      </w:r>
      <w:r w:rsidRPr="00A602F6">
        <w:rPr>
          <w:rFonts w:ascii="Times New Roman" w:hAnsi="Times New Roman" w:cs="Times New Roman"/>
          <w:i/>
          <w:sz w:val="24"/>
          <w:szCs w:val="24"/>
        </w:rPr>
        <w:t xml:space="preserve">Uriri </w:t>
      </w:r>
      <w:r>
        <w:rPr>
          <w:rFonts w:ascii="Times New Roman" w:hAnsi="Times New Roman" w:cs="Times New Roman"/>
          <w:sz w:val="24"/>
          <w:szCs w:val="24"/>
        </w:rPr>
        <w:t>applied to have admitted as part of the record</w:t>
      </w:r>
      <w:r w:rsidR="005E0B01">
        <w:rPr>
          <w:rFonts w:ascii="Times New Roman" w:hAnsi="Times New Roman" w:cs="Times New Roman"/>
          <w:sz w:val="24"/>
          <w:szCs w:val="24"/>
        </w:rPr>
        <w:t>,</w:t>
      </w:r>
      <w:r>
        <w:rPr>
          <w:rFonts w:ascii="Times New Roman" w:hAnsi="Times New Roman" w:cs="Times New Roman"/>
          <w:sz w:val="24"/>
          <w:szCs w:val="24"/>
        </w:rPr>
        <w:t xml:space="preserve"> supplementary affidavits of the applicant. The supplementary affidavits had already been </w:t>
      </w:r>
      <w:r w:rsidR="005E0B01">
        <w:rPr>
          <w:rFonts w:ascii="Times New Roman" w:hAnsi="Times New Roman" w:cs="Times New Roman"/>
          <w:sz w:val="24"/>
          <w:szCs w:val="24"/>
        </w:rPr>
        <w:t>f</w:t>
      </w:r>
      <w:r>
        <w:rPr>
          <w:rFonts w:ascii="Times New Roman" w:hAnsi="Times New Roman" w:cs="Times New Roman"/>
          <w:sz w:val="24"/>
          <w:szCs w:val="24"/>
        </w:rPr>
        <w:t>ranked by the Registrar with the court stamp and included in the court record. The Registrar should not have accepted the documents for filing because in terms of rule 235</w:t>
      </w:r>
      <w:r w:rsidR="005E0B01">
        <w:rPr>
          <w:rFonts w:ascii="Times New Roman" w:hAnsi="Times New Roman" w:cs="Times New Roman"/>
          <w:sz w:val="24"/>
          <w:szCs w:val="24"/>
        </w:rPr>
        <w:t xml:space="preserve"> of the High Court Civil Rules,</w:t>
      </w:r>
      <w:r>
        <w:rPr>
          <w:rFonts w:ascii="Times New Roman" w:hAnsi="Times New Roman" w:cs="Times New Roman"/>
          <w:sz w:val="24"/>
          <w:szCs w:val="24"/>
        </w:rPr>
        <w:t xml:space="preserve"> a party is not permitted to file any further affidavits after the filing of the answering affidavit. Additional affidavits may only be filed with the leave of the court or a judge. Mr </w:t>
      </w:r>
      <w:r w:rsidRPr="00A602F6">
        <w:rPr>
          <w:rFonts w:ascii="Times New Roman" w:hAnsi="Times New Roman" w:cs="Times New Roman"/>
          <w:i/>
          <w:sz w:val="24"/>
          <w:szCs w:val="24"/>
        </w:rPr>
        <w:t>Uriri</w:t>
      </w:r>
      <w:r>
        <w:rPr>
          <w:rFonts w:ascii="Times New Roman" w:hAnsi="Times New Roman" w:cs="Times New Roman"/>
          <w:sz w:val="24"/>
          <w:szCs w:val="24"/>
        </w:rPr>
        <w:t xml:space="preserve"> submitted that he had solicited for a consent to the filing of the supplementary affidavit from Mr </w:t>
      </w:r>
      <w:r w:rsidRPr="00A602F6">
        <w:rPr>
          <w:rFonts w:ascii="Times New Roman" w:hAnsi="Times New Roman" w:cs="Times New Roman"/>
          <w:i/>
          <w:sz w:val="24"/>
          <w:szCs w:val="24"/>
        </w:rPr>
        <w:t>Manjengwa</w:t>
      </w:r>
      <w:r>
        <w:rPr>
          <w:rFonts w:ascii="Times New Roman" w:hAnsi="Times New Roman" w:cs="Times New Roman"/>
          <w:sz w:val="24"/>
          <w:szCs w:val="24"/>
        </w:rPr>
        <w:t xml:space="preserve"> but the latter had refused to consent to the filing thereof. Resultantly</w:t>
      </w:r>
      <w:r w:rsidR="00450D32">
        <w:rPr>
          <w:rFonts w:ascii="Times New Roman" w:hAnsi="Times New Roman" w:cs="Times New Roman"/>
          <w:sz w:val="24"/>
          <w:szCs w:val="24"/>
        </w:rPr>
        <w:t xml:space="preserve"> Mr </w:t>
      </w:r>
      <w:r w:rsidR="00450D32" w:rsidRPr="00A602F6">
        <w:rPr>
          <w:rFonts w:ascii="Times New Roman" w:hAnsi="Times New Roman" w:cs="Times New Roman"/>
          <w:i/>
          <w:sz w:val="24"/>
          <w:szCs w:val="24"/>
        </w:rPr>
        <w:t>Uriri</w:t>
      </w:r>
      <w:r w:rsidR="00450D32">
        <w:rPr>
          <w:rFonts w:ascii="Times New Roman" w:hAnsi="Times New Roman" w:cs="Times New Roman"/>
          <w:sz w:val="24"/>
          <w:szCs w:val="24"/>
        </w:rPr>
        <w:t xml:space="preserve"> applied to have the irregularly filed supplementary affidavit expunged from the record and indicated that the applicant was abandoning the use of the proposed additional evidence. The applicants’ supplementary affidavit filed on the morning of 26 November, 2018 was accordingly expunged from the record.</w:t>
      </w:r>
    </w:p>
    <w:p w:rsidR="00450D32" w:rsidRDefault="00450D32" w:rsidP="0058262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Reverting to the point </w:t>
      </w:r>
      <w:r w:rsidRPr="00A602F6">
        <w:rPr>
          <w:rFonts w:ascii="Times New Roman" w:hAnsi="Times New Roman" w:cs="Times New Roman"/>
          <w:i/>
          <w:sz w:val="24"/>
          <w:szCs w:val="24"/>
        </w:rPr>
        <w:t>in limine</w:t>
      </w:r>
      <w:r>
        <w:rPr>
          <w:rFonts w:ascii="Times New Roman" w:hAnsi="Times New Roman" w:cs="Times New Roman"/>
          <w:sz w:val="24"/>
          <w:szCs w:val="24"/>
        </w:rPr>
        <w:t xml:space="preserve">, Mr </w:t>
      </w:r>
      <w:r w:rsidRPr="00A602F6">
        <w:rPr>
          <w:rFonts w:ascii="Times New Roman" w:hAnsi="Times New Roman" w:cs="Times New Roman"/>
          <w:i/>
          <w:sz w:val="24"/>
          <w:szCs w:val="24"/>
        </w:rPr>
        <w:t>Manjengwa</w:t>
      </w:r>
      <w:r>
        <w:rPr>
          <w:rFonts w:ascii="Times New Roman" w:hAnsi="Times New Roman" w:cs="Times New Roman"/>
          <w:sz w:val="24"/>
          <w:szCs w:val="24"/>
        </w:rPr>
        <w:t xml:space="preserve"> referred to the respondents’ opposing affidavit in which the respondent deposed that the applicant had brought its claim using the </w:t>
      </w:r>
      <w:r>
        <w:rPr>
          <w:rFonts w:ascii="Times New Roman" w:hAnsi="Times New Roman" w:cs="Times New Roman"/>
          <w:sz w:val="24"/>
          <w:szCs w:val="24"/>
        </w:rPr>
        <w:lastRenderedPageBreak/>
        <w:t xml:space="preserve">“wrong procedure” of application or motion proceedings instead of summons procedure. The respondent averred that there are material disputes of fact that cannot be determined by the court on the papers without hearing oral evidence. In considering the veracity of the point </w:t>
      </w:r>
      <w:r w:rsidRPr="00A602F6">
        <w:rPr>
          <w:rFonts w:ascii="Times New Roman" w:hAnsi="Times New Roman" w:cs="Times New Roman"/>
          <w:i/>
          <w:sz w:val="24"/>
          <w:szCs w:val="24"/>
        </w:rPr>
        <w:t>in limine,</w:t>
      </w:r>
      <w:r>
        <w:rPr>
          <w:rFonts w:ascii="Times New Roman" w:hAnsi="Times New Roman" w:cs="Times New Roman"/>
          <w:sz w:val="24"/>
          <w:szCs w:val="24"/>
        </w:rPr>
        <w:t xml:space="preserve"> the court must perforce consider the nature of the relief or order which the applicant prays for from the court. This is so because the nature of the order sought informs the nature of the evidence which is required to be adduced and considered to support the grant of the relief. If such evidence is so contested by the parties that the court cannot make a determination of which version to believe and would require to recei</w:t>
      </w:r>
      <w:r w:rsidR="00A602F6">
        <w:rPr>
          <w:rFonts w:ascii="Times New Roman" w:hAnsi="Times New Roman" w:cs="Times New Roman"/>
          <w:sz w:val="24"/>
          <w:szCs w:val="24"/>
        </w:rPr>
        <w:t>v</w:t>
      </w:r>
      <w:r>
        <w:rPr>
          <w:rFonts w:ascii="Times New Roman" w:hAnsi="Times New Roman" w:cs="Times New Roman"/>
          <w:sz w:val="24"/>
          <w:szCs w:val="24"/>
        </w:rPr>
        <w:t>e oral testimony to resolve the dispute, then the case is adjudged to be incapable of resolution on the papers.</w:t>
      </w:r>
    </w:p>
    <w:p w:rsidR="00450D32" w:rsidRDefault="00450D32" w:rsidP="005E0B01">
      <w:pPr>
        <w:spacing w:after="0" w:line="240" w:lineRule="auto"/>
        <w:ind w:firstLine="720"/>
        <w:jc w:val="both"/>
        <w:rPr>
          <w:rFonts w:ascii="Times New Roman" w:hAnsi="Times New Roman" w:cs="Times New Roman"/>
        </w:rPr>
      </w:pPr>
      <w:r>
        <w:rPr>
          <w:rFonts w:ascii="Times New Roman" w:hAnsi="Times New Roman" w:cs="Times New Roman"/>
          <w:sz w:val="24"/>
          <w:szCs w:val="24"/>
        </w:rPr>
        <w:t xml:space="preserve">In </w:t>
      </w:r>
      <w:r w:rsidRPr="00A602F6">
        <w:rPr>
          <w:rFonts w:ascii="Times New Roman" w:hAnsi="Times New Roman" w:cs="Times New Roman"/>
          <w:i/>
          <w:sz w:val="24"/>
          <w:szCs w:val="24"/>
        </w:rPr>
        <w:t xml:space="preserve">National </w:t>
      </w:r>
      <w:r w:rsidR="005E0B01">
        <w:rPr>
          <w:rFonts w:ascii="Times New Roman" w:hAnsi="Times New Roman" w:cs="Times New Roman"/>
          <w:i/>
          <w:sz w:val="24"/>
          <w:szCs w:val="24"/>
        </w:rPr>
        <w:t>D</w:t>
      </w:r>
      <w:r w:rsidRPr="00A602F6">
        <w:rPr>
          <w:rFonts w:ascii="Times New Roman" w:hAnsi="Times New Roman" w:cs="Times New Roman"/>
          <w:i/>
          <w:sz w:val="24"/>
          <w:szCs w:val="24"/>
        </w:rPr>
        <w:t>irectors of Public Prosecutions</w:t>
      </w:r>
      <w:r>
        <w:rPr>
          <w:rFonts w:ascii="Times New Roman" w:hAnsi="Times New Roman" w:cs="Times New Roman"/>
          <w:sz w:val="24"/>
          <w:szCs w:val="24"/>
        </w:rPr>
        <w:t xml:space="preserve"> v </w:t>
      </w:r>
      <w:r w:rsidRPr="00A602F6">
        <w:rPr>
          <w:rFonts w:ascii="Times New Roman" w:hAnsi="Times New Roman" w:cs="Times New Roman"/>
          <w:i/>
          <w:sz w:val="24"/>
          <w:szCs w:val="24"/>
        </w:rPr>
        <w:t>Zuma</w:t>
      </w:r>
      <w:r>
        <w:rPr>
          <w:rFonts w:ascii="Times New Roman" w:hAnsi="Times New Roman" w:cs="Times New Roman"/>
          <w:sz w:val="24"/>
          <w:szCs w:val="24"/>
        </w:rPr>
        <w:t xml:space="preserve"> </w:t>
      </w:r>
      <w:r w:rsidR="00A602F6">
        <w:rPr>
          <w:rFonts w:ascii="Times New Roman" w:hAnsi="Times New Roman" w:cs="Times New Roman"/>
          <w:sz w:val="24"/>
          <w:szCs w:val="24"/>
        </w:rPr>
        <w:t>(</w:t>
      </w:r>
      <w:r>
        <w:rPr>
          <w:rFonts w:ascii="Times New Roman" w:hAnsi="Times New Roman" w:cs="Times New Roman"/>
          <w:sz w:val="24"/>
          <w:szCs w:val="24"/>
        </w:rPr>
        <w:t>2009) ZACC I</w:t>
      </w:r>
      <w:r w:rsidR="005E0B01">
        <w:rPr>
          <w:rFonts w:ascii="Times New Roman" w:hAnsi="Times New Roman" w:cs="Times New Roman"/>
          <w:sz w:val="24"/>
          <w:szCs w:val="24"/>
        </w:rPr>
        <w:t>,</w:t>
      </w:r>
      <w:r>
        <w:rPr>
          <w:rFonts w:ascii="Times New Roman" w:hAnsi="Times New Roman" w:cs="Times New Roman"/>
          <w:sz w:val="24"/>
          <w:szCs w:val="24"/>
        </w:rPr>
        <w:t xml:space="preserve"> also reported in 2009 (2) SA 277 </w:t>
      </w:r>
      <w:r w:rsidR="00A602F6">
        <w:rPr>
          <w:rFonts w:ascii="Times New Roman" w:hAnsi="Times New Roman" w:cs="Times New Roman"/>
          <w:sz w:val="24"/>
          <w:szCs w:val="24"/>
        </w:rPr>
        <w:t>SCA,</w:t>
      </w:r>
      <w:r>
        <w:rPr>
          <w:rFonts w:ascii="Times New Roman" w:hAnsi="Times New Roman" w:cs="Times New Roman"/>
          <w:sz w:val="24"/>
          <w:szCs w:val="24"/>
        </w:rPr>
        <w:t xml:space="preserve"> HARMS DP at para 26 stated that “</w:t>
      </w:r>
      <w:r w:rsidRPr="005E0B01">
        <w:rPr>
          <w:rFonts w:ascii="Times New Roman" w:hAnsi="Times New Roman" w:cs="Times New Roman"/>
        </w:rPr>
        <w:t>motion proceedings unless concerned with interim relief are all about the resolution of legal issues based on common cause facts and that unless the circumstances are special, they cannot be used to resolve factual issues because they are not designed to determine probab</w:t>
      </w:r>
      <w:r w:rsidR="00582621" w:rsidRPr="005E0B01">
        <w:rPr>
          <w:rFonts w:ascii="Times New Roman" w:hAnsi="Times New Roman" w:cs="Times New Roman"/>
        </w:rPr>
        <w:t>i</w:t>
      </w:r>
      <w:r w:rsidRPr="005E0B01">
        <w:rPr>
          <w:rFonts w:ascii="Times New Roman" w:hAnsi="Times New Roman" w:cs="Times New Roman"/>
        </w:rPr>
        <w:t>liti</w:t>
      </w:r>
      <w:r w:rsidR="00582621" w:rsidRPr="005E0B01">
        <w:rPr>
          <w:rFonts w:ascii="Times New Roman" w:hAnsi="Times New Roman" w:cs="Times New Roman"/>
        </w:rPr>
        <w:t>es.”</w:t>
      </w:r>
    </w:p>
    <w:p w:rsidR="005E0B01" w:rsidRPr="005E0B01" w:rsidRDefault="005E0B01" w:rsidP="005E0B01">
      <w:pPr>
        <w:spacing w:after="0" w:line="240" w:lineRule="auto"/>
        <w:ind w:firstLine="720"/>
        <w:jc w:val="both"/>
        <w:rPr>
          <w:rFonts w:ascii="Times New Roman" w:hAnsi="Times New Roman" w:cs="Times New Roman"/>
        </w:rPr>
      </w:pPr>
    </w:p>
    <w:p w:rsidR="00582621" w:rsidRDefault="00582621" w:rsidP="0058262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sidRPr="00A602F6">
        <w:rPr>
          <w:rFonts w:ascii="Times New Roman" w:hAnsi="Times New Roman" w:cs="Times New Roman"/>
          <w:i/>
          <w:sz w:val="24"/>
          <w:szCs w:val="24"/>
        </w:rPr>
        <w:t>Room Hire Co. (Pty) Ltd</w:t>
      </w:r>
      <w:r>
        <w:rPr>
          <w:rFonts w:ascii="Times New Roman" w:hAnsi="Times New Roman" w:cs="Times New Roman"/>
          <w:sz w:val="24"/>
          <w:szCs w:val="24"/>
        </w:rPr>
        <w:t xml:space="preserve"> v </w:t>
      </w:r>
      <w:r w:rsidRPr="00A602F6">
        <w:rPr>
          <w:rFonts w:ascii="Times New Roman" w:hAnsi="Times New Roman" w:cs="Times New Roman"/>
          <w:i/>
          <w:sz w:val="24"/>
          <w:szCs w:val="24"/>
        </w:rPr>
        <w:t>Jeppe Street Mansions (Pty) Ltd</w:t>
      </w:r>
      <w:r>
        <w:rPr>
          <w:rFonts w:ascii="Times New Roman" w:hAnsi="Times New Roman" w:cs="Times New Roman"/>
          <w:sz w:val="24"/>
          <w:szCs w:val="24"/>
        </w:rPr>
        <w:t xml:space="preserve"> 1949 (3) SA 1155 T at 1162, </w:t>
      </w:r>
      <w:r w:rsidRPr="00A602F6">
        <w:rPr>
          <w:rFonts w:ascii="Times New Roman" w:hAnsi="Times New Roman" w:cs="Times New Roman"/>
          <w:smallCaps/>
          <w:sz w:val="24"/>
          <w:szCs w:val="24"/>
        </w:rPr>
        <w:t>Murray AJP</w:t>
      </w:r>
      <w:r>
        <w:rPr>
          <w:rFonts w:ascii="Times New Roman" w:hAnsi="Times New Roman" w:cs="Times New Roman"/>
          <w:sz w:val="24"/>
          <w:szCs w:val="24"/>
        </w:rPr>
        <w:t xml:space="preserve"> stated:</w:t>
      </w:r>
    </w:p>
    <w:p w:rsidR="00BB4A80" w:rsidRDefault="00582621" w:rsidP="00BB4A80">
      <w:pPr>
        <w:spacing w:after="0" w:line="360" w:lineRule="auto"/>
        <w:ind w:firstLine="720"/>
        <w:jc w:val="both"/>
        <w:rPr>
          <w:rFonts w:ascii="Times New Roman" w:hAnsi="Times New Roman" w:cs="Times New Roman"/>
        </w:rPr>
      </w:pPr>
      <w:r>
        <w:rPr>
          <w:rFonts w:ascii="Times New Roman" w:hAnsi="Times New Roman" w:cs="Times New Roman"/>
          <w:sz w:val="24"/>
          <w:szCs w:val="24"/>
        </w:rPr>
        <w:t>“</w:t>
      </w:r>
      <w:r w:rsidRPr="00A602F6">
        <w:rPr>
          <w:rFonts w:ascii="Times New Roman" w:hAnsi="Times New Roman" w:cs="Times New Roman"/>
        </w:rPr>
        <w:t>it is obvious that a claimant who elects to proceed</w:t>
      </w:r>
      <w:r w:rsidR="00BB4A80" w:rsidRPr="00873B78">
        <w:rPr>
          <w:rFonts w:ascii="Times New Roman" w:hAnsi="Times New Roman" w:cs="Times New Roman"/>
        </w:rPr>
        <w:t xml:space="preserve"> by motion runs the risk that a dispute of fact may be shown to exist. In that event (as indicated infra), the court has a discretion as to the future c</w:t>
      </w:r>
      <w:r w:rsidR="005E0B01">
        <w:rPr>
          <w:rFonts w:ascii="Times New Roman" w:hAnsi="Times New Roman" w:cs="Times New Roman"/>
        </w:rPr>
        <w:t>o</w:t>
      </w:r>
      <w:r w:rsidR="00BB4A80" w:rsidRPr="00873B78">
        <w:rPr>
          <w:rFonts w:ascii="Times New Roman" w:hAnsi="Times New Roman" w:cs="Times New Roman"/>
        </w:rPr>
        <w:t>urse of the proceedings. If it does not consider the case such that the dispute of fact can properly be determined by calling viva voce evidence under r 9, the parties may be sent to trial in the ordinary way, either on the affidavits as constituting the pleadings, or with a direction that pleadings are to be filed. Or the application may even be dismissed with co</w:t>
      </w:r>
      <w:r w:rsidR="005E0B01">
        <w:rPr>
          <w:rFonts w:ascii="Times New Roman" w:hAnsi="Times New Roman" w:cs="Times New Roman"/>
        </w:rPr>
        <w:t>s</w:t>
      </w:r>
      <w:r w:rsidR="00BB4A80" w:rsidRPr="00873B78">
        <w:rPr>
          <w:rFonts w:ascii="Times New Roman" w:hAnsi="Times New Roman" w:cs="Times New Roman"/>
        </w:rPr>
        <w:t xml:space="preserve">ts, particularly when the applicant should have realized when launching his application that a serious dispute of fact was bound to develop. It is certainly not proper that an applicant should commence proceedings by motion with knowledge of the probability of a protracted enquiry into disputed facts not capable of any ascertainment, but in the hope of inducing the court to apply r 9 to what is essentially the subject of an ordinary trial action.”   </w:t>
      </w:r>
    </w:p>
    <w:p w:rsidR="00BB4A80" w:rsidRDefault="00BB4A80" w:rsidP="00BB4A80">
      <w:p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In </w:t>
      </w:r>
      <w:r>
        <w:rPr>
          <w:rFonts w:ascii="Times New Roman" w:hAnsi="Times New Roman" w:cs="Times New Roman"/>
          <w:i/>
          <w:sz w:val="24"/>
          <w:szCs w:val="24"/>
        </w:rPr>
        <w:t xml:space="preserve">Supa Plant Investment (Pvt) </w:t>
      </w:r>
      <w:r>
        <w:rPr>
          <w:rFonts w:ascii="Times New Roman" w:hAnsi="Times New Roman" w:cs="Times New Roman"/>
          <w:sz w:val="24"/>
          <w:szCs w:val="24"/>
        </w:rPr>
        <w:t xml:space="preserve">v </w:t>
      </w:r>
      <w:r>
        <w:rPr>
          <w:rFonts w:ascii="Times New Roman" w:hAnsi="Times New Roman" w:cs="Times New Roman"/>
          <w:i/>
          <w:sz w:val="24"/>
          <w:szCs w:val="24"/>
        </w:rPr>
        <w:t xml:space="preserve">Edgar Chidavaenzi </w:t>
      </w:r>
      <w:r>
        <w:rPr>
          <w:rFonts w:ascii="Times New Roman" w:hAnsi="Times New Roman" w:cs="Times New Roman"/>
          <w:sz w:val="24"/>
          <w:szCs w:val="24"/>
        </w:rPr>
        <w:t xml:space="preserve">HH 92/09 a case cited in the </w:t>
      </w:r>
    </w:p>
    <w:p w:rsidR="00BB4A80" w:rsidRDefault="00BB4A80" w:rsidP="00BB4A8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Respondents’ heads of argument, </w:t>
      </w:r>
      <w:r w:rsidRPr="0098197B">
        <w:rPr>
          <w:rFonts w:ascii="Times New Roman" w:hAnsi="Times New Roman" w:cs="Times New Roman"/>
          <w:smallCaps/>
          <w:sz w:val="24"/>
          <w:szCs w:val="24"/>
        </w:rPr>
        <w:t>Maka</w:t>
      </w:r>
      <w:r>
        <w:rPr>
          <w:rFonts w:ascii="Times New Roman" w:hAnsi="Times New Roman" w:cs="Times New Roman"/>
          <w:smallCaps/>
          <w:sz w:val="24"/>
          <w:szCs w:val="24"/>
        </w:rPr>
        <w:t>ra</w:t>
      </w:r>
      <w:r w:rsidRPr="0098197B">
        <w:rPr>
          <w:rFonts w:ascii="Times New Roman" w:hAnsi="Times New Roman" w:cs="Times New Roman"/>
          <w:smallCaps/>
          <w:sz w:val="24"/>
          <w:szCs w:val="24"/>
        </w:rPr>
        <w:t>u</w:t>
      </w:r>
      <w:r>
        <w:rPr>
          <w:rFonts w:ascii="Times New Roman" w:hAnsi="Times New Roman" w:cs="Times New Roman"/>
          <w:sz w:val="24"/>
          <w:szCs w:val="24"/>
        </w:rPr>
        <w:t xml:space="preserve"> J (as she then was) postulated that a material dispute of fact arises when the facts alleged by the applicant are denied and traversed by the respondent in such a manner as to leave the court with no ready answer to the dispute between the parties in the absence of further evidence being led. I would add that disputed facts which the court finds itself unable to resolve must be fundamental to the determination to be made. Thus, </w:t>
      </w:r>
      <w:r>
        <w:rPr>
          <w:rFonts w:ascii="Times New Roman" w:hAnsi="Times New Roman" w:cs="Times New Roman"/>
          <w:sz w:val="24"/>
          <w:szCs w:val="24"/>
        </w:rPr>
        <w:lastRenderedPageBreak/>
        <w:t>the expression, material dispute of fact should be understood to refer to those facts which are fundamental, central or essential to be established by the applicant to prove his or her case on a balance of probabilities.</w:t>
      </w:r>
    </w:p>
    <w:p w:rsidR="00BB4A80" w:rsidRDefault="00BB4A80" w:rsidP="00BB4A8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It must follow that fanciful disputes of fact or those disputes of facts  whose determination do not assist in resolving the issue at hand do not constitute the material disputes envisaged as leading to the unsuitability of application procedure as the appropriate procedure for bringing a dispute to court as opposed to action procedure. The High Court Rules 1971 do not have a specific rule that provides for the manner of disposal of applications where the court finds the existence of material disputes of fact. The practice has evolved however whereby </w:t>
      </w:r>
      <w:r w:rsidR="005E0B01">
        <w:rPr>
          <w:rFonts w:ascii="Times New Roman" w:hAnsi="Times New Roman" w:cs="Times New Roman"/>
          <w:sz w:val="24"/>
          <w:szCs w:val="24"/>
        </w:rPr>
        <w:t>t</w:t>
      </w:r>
      <w:r>
        <w:rPr>
          <w:rFonts w:ascii="Times New Roman" w:hAnsi="Times New Roman" w:cs="Times New Roman"/>
          <w:sz w:val="24"/>
          <w:szCs w:val="24"/>
        </w:rPr>
        <w:t>he c</w:t>
      </w:r>
      <w:r w:rsidR="005E0B01">
        <w:rPr>
          <w:rFonts w:ascii="Times New Roman" w:hAnsi="Times New Roman" w:cs="Times New Roman"/>
          <w:sz w:val="24"/>
          <w:szCs w:val="24"/>
        </w:rPr>
        <w:t>o</w:t>
      </w:r>
      <w:r>
        <w:rPr>
          <w:rFonts w:ascii="Times New Roman" w:hAnsi="Times New Roman" w:cs="Times New Roman"/>
          <w:sz w:val="24"/>
          <w:szCs w:val="24"/>
        </w:rPr>
        <w:t>urt exercises a discretion to either dismiss the application which cannot be</w:t>
      </w:r>
      <w:r w:rsidR="005E0B01">
        <w:rPr>
          <w:rFonts w:ascii="Times New Roman" w:hAnsi="Times New Roman" w:cs="Times New Roman"/>
          <w:sz w:val="24"/>
          <w:szCs w:val="24"/>
        </w:rPr>
        <w:t xml:space="preserve"> determined on the papers owing to the presence of </w:t>
      </w:r>
      <w:r>
        <w:rPr>
          <w:rFonts w:ascii="Times New Roman" w:hAnsi="Times New Roman" w:cs="Times New Roman"/>
          <w:sz w:val="24"/>
          <w:szCs w:val="24"/>
        </w:rPr>
        <w:t>material disputes of fact which the court cannot determine without hearing evidence or the court refers the application for trial. Rule 239 (b) provides that the court may allow oral evidence. As I understand the purport of the rule, such oral evidence where the court allows it</w:t>
      </w:r>
      <w:r w:rsidR="005E0B01">
        <w:rPr>
          <w:rFonts w:ascii="Times New Roman" w:hAnsi="Times New Roman" w:cs="Times New Roman"/>
          <w:sz w:val="24"/>
          <w:szCs w:val="24"/>
        </w:rPr>
        <w:t>, may be led</w:t>
      </w:r>
      <w:r>
        <w:rPr>
          <w:rFonts w:ascii="Times New Roman" w:hAnsi="Times New Roman" w:cs="Times New Roman"/>
          <w:sz w:val="24"/>
          <w:szCs w:val="24"/>
        </w:rPr>
        <w:t xml:space="preserve"> by either the applicant or the respondent. Rule 239 (b) has not been utilized much by the court. The court has tended t</w:t>
      </w:r>
      <w:r w:rsidR="000B69CA">
        <w:rPr>
          <w:rFonts w:ascii="Times New Roman" w:hAnsi="Times New Roman" w:cs="Times New Roman"/>
          <w:sz w:val="24"/>
          <w:szCs w:val="24"/>
        </w:rPr>
        <w:t>o</w:t>
      </w:r>
      <w:r>
        <w:rPr>
          <w:rFonts w:ascii="Times New Roman" w:hAnsi="Times New Roman" w:cs="Times New Roman"/>
          <w:sz w:val="24"/>
          <w:szCs w:val="24"/>
        </w:rPr>
        <w:t xml:space="preserve"> favour the two options of dismissal or referral to trial.  </w:t>
      </w:r>
    </w:p>
    <w:p w:rsidR="00BB4A80" w:rsidRDefault="00BB4A80" w:rsidP="00BB4A8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exercising a discretion to dismiss the application, the court’s approach has been influenced by a consideration of whether it was not clear to the applicant at the time of filing the application that a real and substantial dispute of fact would arise. In </w:t>
      </w:r>
      <w:r>
        <w:rPr>
          <w:rFonts w:ascii="Times New Roman" w:hAnsi="Times New Roman" w:cs="Times New Roman"/>
          <w:i/>
          <w:sz w:val="24"/>
          <w:szCs w:val="24"/>
        </w:rPr>
        <w:t xml:space="preserve">Mashingaidze </w:t>
      </w:r>
      <w:r>
        <w:rPr>
          <w:rFonts w:ascii="Times New Roman" w:hAnsi="Times New Roman" w:cs="Times New Roman"/>
          <w:sz w:val="24"/>
          <w:szCs w:val="24"/>
        </w:rPr>
        <w:t xml:space="preserve">v </w:t>
      </w:r>
      <w:r>
        <w:rPr>
          <w:rFonts w:ascii="Times New Roman" w:hAnsi="Times New Roman" w:cs="Times New Roman"/>
          <w:i/>
          <w:sz w:val="24"/>
          <w:szCs w:val="24"/>
        </w:rPr>
        <w:t>Mashingaidze</w:t>
      </w:r>
      <w:r>
        <w:rPr>
          <w:rFonts w:ascii="Times New Roman" w:hAnsi="Times New Roman" w:cs="Times New Roman"/>
          <w:sz w:val="24"/>
          <w:szCs w:val="24"/>
        </w:rPr>
        <w:t xml:space="preserve"> 1995 (1) ZLR 219 (HC, the court</w:t>
      </w:r>
      <w:r w:rsidR="000B69CA">
        <w:rPr>
          <w:rFonts w:ascii="Times New Roman" w:hAnsi="Times New Roman" w:cs="Times New Roman"/>
          <w:sz w:val="24"/>
          <w:szCs w:val="24"/>
        </w:rPr>
        <w:t xml:space="preserve"> went</w:t>
      </w:r>
      <w:r>
        <w:rPr>
          <w:rFonts w:ascii="Times New Roman" w:hAnsi="Times New Roman" w:cs="Times New Roman"/>
          <w:sz w:val="24"/>
          <w:szCs w:val="24"/>
        </w:rPr>
        <w:t xml:space="preserve"> as far as to admonish that unless the practice of parties resorting to application proceedings was curbed through an order of dismissal of applications brought in circumstances where a material dispute of fact was apparent, parties would continue to believe that they have nothing to lose and everything to tactically gain by resorting to application instead of action procedure. </w:t>
      </w:r>
    </w:p>
    <w:p w:rsidR="00BB4A80" w:rsidRDefault="00BB4A80" w:rsidP="00BB4A8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My considered view is that the court must be slow to resort to making an order of dismissal of the application and should reserve this remedy for those extreme cases where the facts show that right from onset, the respondent was always not only denying the applicant’s claim but is shown to have given or expressed</w:t>
      </w:r>
      <w:r w:rsidR="000B69CA">
        <w:rPr>
          <w:rFonts w:ascii="Times New Roman" w:hAnsi="Times New Roman" w:cs="Times New Roman"/>
          <w:sz w:val="24"/>
          <w:szCs w:val="24"/>
        </w:rPr>
        <w:t xml:space="preserve"> to the respondent,</w:t>
      </w:r>
      <w:r>
        <w:rPr>
          <w:rFonts w:ascii="Times New Roman" w:hAnsi="Times New Roman" w:cs="Times New Roman"/>
          <w:sz w:val="24"/>
          <w:szCs w:val="24"/>
        </w:rPr>
        <w:t xml:space="preserve"> a different version of the material facts which </w:t>
      </w:r>
      <w:r w:rsidR="000B69CA">
        <w:rPr>
          <w:rFonts w:ascii="Times New Roman" w:hAnsi="Times New Roman" w:cs="Times New Roman"/>
          <w:sz w:val="24"/>
          <w:szCs w:val="24"/>
        </w:rPr>
        <w:t xml:space="preserve">then </w:t>
      </w:r>
      <w:r>
        <w:rPr>
          <w:rFonts w:ascii="Times New Roman" w:hAnsi="Times New Roman" w:cs="Times New Roman"/>
          <w:sz w:val="24"/>
          <w:szCs w:val="24"/>
        </w:rPr>
        <w:t xml:space="preserve">found the dispute. I am fortified in the view I take by the purport of r 104 of the rules. Although the rule refers to pleadings and their content, it is clear therefrom and </w:t>
      </w:r>
      <w:r>
        <w:rPr>
          <w:rFonts w:ascii="Times New Roman" w:hAnsi="Times New Roman" w:cs="Times New Roman"/>
          <w:sz w:val="24"/>
          <w:szCs w:val="24"/>
        </w:rPr>
        <w:lastRenderedPageBreak/>
        <w:t>by parity of reasoning that where a party makes a claim against the other party, the party against whom the claim is made should either admit or deny it totally or state that he or she has no knowledge concerning it or confess and avoid it. Where there is confession and avoidance, the full grounds of avoidance must be set out. It would amount to an injustice to punish an applicant by dismissal of his or her application on the grounds of the presence of material disputes of fact where it</w:t>
      </w:r>
      <w:r w:rsidR="000B69CA">
        <w:rPr>
          <w:rFonts w:ascii="Times New Roman" w:hAnsi="Times New Roman" w:cs="Times New Roman"/>
          <w:sz w:val="24"/>
          <w:szCs w:val="24"/>
        </w:rPr>
        <w:t xml:space="preserve"> is </w:t>
      </w:r>
      <w:r>
        <w:rPr>
          <w:rFonts w:ascii="Times New Roman" w:hAnsi="Times New Roman" w:cs="Times New Roman"/>
          <w:sz w:val="24"/>
          <w:szCs w:val="24"/>
        </w:rPr>
        <w:t>shown that the respondent when demand was made of him or her was coy with disclosing grounds of denial of the claim. Where the respondent only discloses his or her defence and raises disputes of fact only after being slapped with an application, the applicant’s application should not be dismissed but the court should if it cannot resolve the dispute either refer the application for trial or invoke the provisions of r 239 (b) and allow evidence to be led to resolve the disputed fact. The latter course of allowing the adduction of oral evidence should be favoured where there is no danger of turning the application proceedings into a protracted trial. The court i</w:t>
      </w:r>
      <w:r w:rsidR="000B69CA">
        <w:rPr>
          <w:rFonts w:ascii="Times New Roman" w:hAnsi="Times New Roman" w:cs="Times New Roman"/>
          <w:sz w:val="24"/>
          <w:szCs w:val="24"/>
        </w:rPr>
        <w:t>n</w:t>
      </w:r>
      <w:r>
        <w:rPr>
          <w:rFonts w:ascii="Times New Roman" w:hAnsi="Times New Roman" w:cs="Times New Roman"/>
          <w:sz w:val="24"/>
          <w:szCs w:val="24"/>
        </w:rPr>
        <w:t xml:space="preserve"> determining on the justiciable option to adopt in disposing of the dispute of fact should lea</w:t>
      </w:r>
      <w:r w:rsidR="000B69CA">
        <w:rPr>
          <w:rFonts w:ascii="Times New Roman" w:hAnsi="Times New Roman" w:cs="Times New Roman"/>
          <w:sz w:val="24"/>
          <w:szCs w:val="24"/>
        </w:rPr>
        <w:t>n</w:t>
      </w:r>
      <w:r>
        <w:rPr>
          <w:rFonts w:ascii="Times New Roman" w:hAnsi="Times New Roman" w:cs="Times New Roman"/>
          <w:sz w:val="24"/>
          <w:szCs w:val="24"/>
        </w:rPr>
        <w:t xml:space="preserve"> towards making every effort to resolve the dispute and not take the easy way out by simply dismissing the application, referring it to trial or hearing oral evidence see </w:t>
      </w:r>
      <w:r>
        <w:rPr>
          <w:rFonts w:ascii="Times New Roman" w:hAnsi="Times New Roman" w:cs="Times New Roman"/>
          <w:i/>
          <w:sz w:val="24"/>
          <w:szCs w:val="24"/>
        </w:rPr>
        <w:t xml:space="preserve">Musukusa </w:t>
      </w:r>
      <w:r>
        <w:rPr>
          <w:rFonts w:ascii="Times New Roman" w:hAnsi="Times New Roman" w:cs="Times New Roman"/>
          <w:sz w:val="24"/>
          <w:szCs w:val="24"/>
        </w:rPr>
        <w:t xml:space="preserve">v </w:t>
      </w:r>
      <w:r>
        <w:rPr>
          <w:rFonts w:ascii="Times New Roman" w:hAnsi="Times New Roman" w:cs="Times New Roman"/>
          <w:i/>
          <w:sz w:val="24"/>
          <w:szCs w:val="24"/>
        </w:rPr>
        <w:t xml:space="preserve">National Foods &amp; Anor </w:t>
      </w:r>
      <w:r>
        <w:rPr>
          <w:rFonts w:ascii="Times New Roman" w:hAnsi="Times New Roman" w:cs="Times New Roman"/>
          <w:sz w:val="24"/>
          <w:szCs w:val="24"/>
        </w:rPr>
        <w:t xml:space="preserve">1982 (1) ZLR 232 where it is stated that the court should adopt a robust approach where this can be achieved without prejudicing the parties and resolve the dispute. See also </w:t>
      </w:r>
      <w:r w:rsidRPr="001A1450">
        <w:rPr>
          <w:rFonts w:ascii="Times New Roman" w:hAnsi="Times New Roman" w:cs="Times New Roman"/>
          <w:i/>
          <w:sz w:val="24"/>
          <w:szCs w:val="24"/>
        </w:rPr>
        <w:t>Maxwell Mutoko</w:t>
      </w:r>
      <w:r>
        <w:rPr>
          <w:rFonts w:ascii="Times New Roman" w:hAnsi="Times New Roman" w:cs="Times New Roman"/>
          <w:sz w:val="24"/>
          <w:szCs w:val="24"/>
        </w:rPr>
        <w:t xml:space="preserve"> v </w:t>
      </w:r>
      <w:r w:rsidRPr="001A1450">
        <w:rPr>
          <w:rFonts w:ascii="Times New Roman" w:hAnsi="Times New Roman" w:cs="Times New Roman"/>
          <w:i/>
          <w:sz w:val="24"/>
          <w:szCs w:val="24"/>
        </w:rPr>
        <w:t>Charity Mutoko</w:t>
      </w:r>
      <w:r>
        <w:rPr>
          <w:rFonts w:ascii="Times New Roman" w:hAnsi="Times New Roman" w:cs="Times New Roman"/>
          <w:sz w:val="24"/>
          <w:szCs w:val="24"/>
        </w:rPr>
        <w:t xml:space="preserve"> HH 212/2010 where </w:t>
      </w:r>
      <w:r w:rsidRPr="001A1450">
        <w:rPr>
          <w:rFonts w:ascii="Times New Roman" w:hAnsi="Times New Roman" w:cs="Times New Roman"/>
          <w:smallCaps/>
          <w:sz w:val="24"/>
          <w:szCs w:val="24"/>
        </w:rPr>
        <w:t>Chitakunye</w:t>
      </w:r>
      <w:r>
        <w:rPr>
          <w:rFonts w:ascii="Times New Roman" w:hAnsi="Times New Roman" w:cs="Times New Roman"/>
          <w:sz w:val="24"/>
          <w:szCs w:val="24"/>
        </w:rPr>
        <w:t xml:space="preserve"> J quoted the dicta of </w:t>
      </w:r>
      <w:r w:rsidRPr="001A1450">
        <w:rPr>
          <w:rFonts w:ascii="Times New Roman" w:hAnsi="Times New Roman" w:cs="Times New Roman"/>
          <w:smallCaps/>
          <w:sz w:val="24"/>
          <w:szCs w:val="24"/>
        </w:rPr>
        <w:t>McNally</w:t>
      </w:r>
      <w:r>
        <w:rPr>
          <w:rFonts w:ascii="Times New Roman" w:hAnsi="Times New Roman" w:cs="Times New Roman"/>
          <w:sz w:val="24"/>
          <w:szCs w:val="24"/>
        </w:rPr>
        <w:t xml:space="preserve"> J (as he then was) in Masukusa’s case (</w:t>
      </w:r>
      <w:r w:rsidRPr="00037A1B">
        <w:rPr>
          <w:rFonts w:ascii="Times New Roman" w:hAnsi="Times New Roman" w:cs="Times New Roman"/>
          <w:i/>
          <w:sz w:val="24"/>
          <w:szCs w:val="24"/>
        </w:rPr>
        <w:t>supra</w:t>
      </w:r>
      <w:r>
        <w:rPr>
          <w:rFonts w:ascii="Times New Roman" w:hAnsi="Times New Roman" w:cs="Times New Roman"/>
          <w:sz w:val="24"/>
          <w:szCs w:val="24"/>
        </w:rPr>
        <w:t xml:space="preserve">) when the judge stated: </w:t>
      </w:r>
    </w:p>
    <w:p w:rsidR="00BB4A80" w:rsidRDefault="00BB4A80" w:rsidP="00BB4A80">
      <w:pPr>
        <w:spacing w:after="0" w:line="240" w:lineRule="auto"/>
        <w:ind w:left="720"/>
        <w:jc w:val="both"/>
        <w:rPr>
          <w:rFonts w:ascii="Times New Roman" w:hAnsi="Times New Roman" w:cs="Times New Roman"/>
        </w:rPr>
      </w:pPr>
      <w:r>
        <w:rPr>
          <w:rFonts w:ascii="Times New Roman" w:hAnsi="Times New Roman" w:cs="Times New Roman"/>
          <w:sz w:val="24"/>
          <w:szCs w:val="24"/>
        </w:rPr>
        <w:t>“</w:t>
      </w:r>
      <w:r>
        <w:rPr>
          <w:rFonts w:ascii="Times New Roman" w:hAnsi="Times New Roman" w:cs="Times New Roman"/>
        </w:rPr>
        <w:t>A court will take a robust view of conflicts of fact where it thinks that it can solve the issue despite the apparent conflicts.”</w:t>
      </w:r>
    </w:p>
    <w:p w:rsidR="00BB4A80" w:rsidRDefault="00BB4A80" w:rsidP="00BB4A80">
      <w:pPr>
        <w:spacing w:after="0" w:line="240" w:lineRule="auto"/>
        <w:ind w:left="720"/>
        <w:jc w:val="both"/>
        <w:rPr>
          <w:rFonts w:ascii="Times New Roman" w:hAnsi="Times New Roman" w:cs="Times New Roman"/>
        </w:rPr>
      </w:pPr>
    </w:p>
    <w:p w:rsidR="000B69CA" w:rsidRDefault="00BB4A80" w:rsidP="00BB4A80">
      <w:p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I observe that s 176 of the Constitution 2013 gives the</w:t>
      </w:r>
      <w:r w:rsidR="000B69CA">
        <w:rPr>
          <w:rFonts w:ascii="Times New Roman" w:hAnsi="Times New Roman" w:cs="Times New Roman"/>
          <w:sz w:val="24"/>
          <w:szCs w:val="24"/>
        </w:rPr>
        <w:t xml:space="preserve"> superior courts including this</w:t>
      </w:r>
    </w:p>
    <w:p w:rsidR="00BB4A80" w:rsidRDefault="00BB4A80" w:rsidP="000B69C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court, the inherent power to protect and regulate its processes and to develop the common law. The bringing of claims by either summons or application is in the nature of a process of this court. Section 176 aforesaid is explicit that </w:t>
      </w:r>
      <w:r w:rsidR="000B69CA">
        <w:rPr>
          <w:rFonts w:ascii="Times New Roman" w:hAnsi="Times New Roman" w:cs="Times New Roman"/>
          <w:sz w:val="24"/>
          <w:szCs w:val="24"/>
        </w:rPr>
        <w:t>i</w:t>
      </w:r>
      <w:r>
        <w:rPr>
          <w:rFonts w:ascii="Times New Roman" w:hAnsi="Times New Roman" w:cs="Times New Roman"/>
          <w:sz w:val="24"/>
          <w:szCs w:val="24"/>
        </w:rPr>
        <w:t xml:space="preserve">n the exercise of the inherent powers of regulation and protection of its process, the court must take into account the interests of justice and the provisions of the constitution. The </w:t>
      </w:r>
      <w:r w:rsidR="000B69CA">
        <w:rPr>
          <w:rFonts w:ascii="Times New Roman" w:hAnsi="Times New Roman" w:cs="Times New Roman"/>
          <w:sz w:val="24"/>
          <w:szCs w:val="24"/>
        </w:rPr>
        <w:t>primary</w:t>
      </w:r>
      <w:r>
        <w:rPr>
          <w:rFonts w:ascii="Times New Roman" w:hAnsi="Times New Roman" w:cs="Times New Roman"/>
          <w:sz w:val="24"/>
          <w:szCs w:val="24"/>
        </w:rPr>
        <w:t xml:space="preserve"> role of the judiciary is to do dispense justice to all persons impartially without fear,</w:t>
      </w:r>
      <w:r w:rsidR="000B69CA">
        <w:rPr>
          <w:rFonts w:ascii="Times New Roman" w:hAnsi="Times New Roman" w:cs="Times New Roman"/>
          <w:sz w:val="24"/>
          <w:szCs w:val="24"/>
        </w:rPr>
        <w:t xml:space="preserve"> favour,</w:t>
      </w:r>
      <w:r>
        <w:rPr>
          <w:rFonts w:ascii="Times New Roman" w:hAnsi="Times New Roman" w:cs="Times New Roman"/>
          <w:sz w:val="24"/>
          <w:szCs w:val="24"/>
        </w:rPr>
        <w:t xml:space="preserve"> bias or prejudice. All persons have a right to the protection of the law in regard to their person and legitimate rights and interests. I reason therefore that the dismissal of a legitimate claim brought by an applicant by way of application </w:t>
      </w:r>
      <w:r>
        <w:rPr>
          <w:rFonts w:ascii="Times New Roman" w:hAnsi="Times New Roman" w:cs="Times New Roman"/>
          <w:sz w:val="24"/>
          <w:szCs w:val="24"/>
        </w:rPr>
        <w:lastRenderedPageBreak/>
        <w:t xml:space="preserve">on the basis that there are irreconcilable disputes of fact on the papers may not be consistent with the discharge by the court of the duty reposed by s 44 of the constitution on every person and all institutions, private or public and government to “respect, protect, promote and </w:t>
      </w:r>
      <w:r w:rsidR="000B69CA">
        <w:rPr>
          <w:rFonts w:ascii="Times New Roman" w:hAnsi="Times New Roman" w:cs="Times New Roman"/>
          <w:sz w:val="24"/>
          <w:szCs w:val="24"/>
        </w:rPr>
        <w:t>fulfill</w:t>
      </w:r>
      <w:r>
        <w:rPr>
          <w:rFonts w:ascii="Times New Roman" w:hAnsi="Times New Roman" w:cs="Times New Roman"/>
          <w:sz w:val="24"/>
          <w:szCs w:val="24"/>
        </w:rPr>
        <w:t>” fundamental rights of persons and in this case, litigants. The court if it must be seen to be justice dispensation inclined as it should be in line with the constitution</w:t>
      </w:r>
      <w:r w:rsidR="000B69CA">
        <w:rPr>
          <w:rFonts w:ascii="Times New Roman" w:hAnsi="Times New Roman" w:cs="Times New Roman"/>
          <w:sz w:val="24"/>
          <w:szCs w:val="24"/>
        </w:rPr>
        <w:t>,</w:t>
      </w:r>
      <w:r>
        <w:rPr>
          <w:rFonts w:ascii="Times New Roman" w:hAnsi="Times New Roman" w:cs="Times New Roman"/>
          <w:sz w:val="24"/>
          <w:szCs w:val="24"/>
        </w:rPr>
        <w:t xml:space="preserve"> should in my view ask the question; </w:t>
      </w:r>
      <w:r w:rsidR="000B69CA">
        <w:rPr>
          <w:rFonts w:ascii="Times New Roman" w:hAnsi="Times New Roman" w:cs="Times New Roman"/>
          <w:sz w:val="24"/>
          <w:szCs w:val="24"/>
        </w:rPr>
        <w:t>W</w:t>
      </w:r>
      <w:r>
        <w:rPr>
          <w:rFonts w:ascii="Times New Roman" w:hAnsi="Times New Roman" w:cs="Times New Roman"/>
          <w:sz w:val="24"/>
          <w:szCs w:val="24"/>
        </w:rPr>
        <w:t>ill a dismissal of the application be consistent with justice dispensation? If the answer is no, then I posit that the court should prefer alternatives of either trial referral or hearing</w:t>
      </w:r>
      <w:r w:rsidR="000B69CA">
        <w:rPr>
          <w:rFonts w:ascii="Times New Roman" w:hAnsi="Times New Roman" w:cs="Times New Roman"/>
          <w:sz w:val="24"/>
          <w:szCs w:val="24"/>
        </w:rPr>
        <w:t xml:space="preserve"> oral</w:t>
      </w:r>
      <w:r>
        <w:rPr>
          <w:rFonts w:ascii="Times New Roman" w:hAnsi="Times New Roman" w:cs="Times New Roman"/>
          <w:sz w:val="24"/>
          <w:szCs w:val="24"/>
        </w:rPr>
        <w:t xml:space="preserve"> evidence</w:t>
      </w:r>
      <w:r w:rsidR="000B69CA">
        <w:rPr>
          <w:rFonts w:ascii="Times New Roman" w:hAnsi="Times New Roman" w:cs="Times New Roman"/>
          <w:sz w:val="24"/>
          <w:szCs w:val="24"/>
        </w:rPr>
        <w:t xml:space="preserve"> and dispose the case on the merits</w:t>
      </w:r>
      <w:r>
        <w:rPr>
          <w:rFonts w:ascii="Times New Roman" w:hAnsi="Times New Roman" w:cs="Times New Roman"/>
          <w:sz w:val="24"/>
          <w:szCs w:val="24"/>
        </w:rPr>
        <w:t xml:space="preserve">. The respondent’s prejudice if it is argued and found that the respondent has suffered prejudice should be cured or </w:t>
      </w:r>
      <w:r w:rsidR="000B69CA">
        <w:rPr>
          <w:rFonts w:ascii="Times New Roman" w:hAnsi="Times New Roman" w:cs="Times New Roman"/>
          <w:sz w:val="24"/>
          <w:szCs w:val="24"/>
        </w:rPr>
        <w:t>ameliorated</w:t>
      </w:r>
      <w:r>
        <w:rPr>
          <w:rFonts w:ascii="Times New Roman" w:hAnsi="Times New Roman" w:cs="Times New Roman"/>
          <w:sz w:val="24"/>
          <w:szCs w:val="24"/>
        </w:rPr>
        <w:t xml:space="preserve"> by making an appropriate wasted costs order in favour of such respondent.</w:t>
      </w:r>
    </w:p>
    <w:p w:rsidR="00BB4A80" w:rsidRDefault="00BB4A80" w:rsidP="00BB4A8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 proceeded to hear the point </w:t>
      </w:r>
      <w:r>
        <w:rPr>
          <w:rFonts w:ascii="Times New Roman" w:hAnsi="Times New Roman" w:cs="Times New Roman"/>
          <w:i/>
          <w:sz w:val="24"/>
          <w:szCs w:val="24"/>
        </w:rPr>
        <w:t xml:space="preserve">in limine </w:t>
      </w:r>
      <w:r>
        <w:rPr>
          <w:rFonts w:ascii="Times New Roman" w:hAnsi="Times New Roman" w:cs="Times New Roman"/>
          <w:sz w:val="24"/>
          <w:szCs w:val="24"/>
        </w:rPr>
        <w:t>mindful of the guidelines or principles that the court should be guided by in such applications</w:t>
      </w:r>
      <w:r w:rsidR="000B69CA">
        <w:rPr>
          <w:rFonts w:ascii="Times New Roman" w:hAnsi="Times New Roman" w:cs="Times New Roman"/>
          <w:sz w:val="24"/>
          <w:szCs w:val="24"/>
        </w:rPr>
        <w:t xml:space="preserve"> as I have explained them</w:t>
      </w:r>
      <w:r>
        <w:rPr>
          <w:rFonts w:ascii="Times New Roman" w:hAnsi="Times New Roman" w:cs="Times New Roman"/>
          <w:sz w:val="24"/>
          <w:szCs w:val="24"/>
        </w:rPr>
        <w:t>.</w:t>
      </w:r>
    </w:p>
    <w:p w:rsidR="00BB4A80" w:rsidRDefault="00BB4A80" w:rsidP="00BB4A8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Mr </w:t>
      </w:r>
      <w:r>
        <w:rPr>
          <w:rFonts w:ascii="Times New Roman" w:hAnsi="Times New Roman" w:cs="Times New Roman"/>
          <w:i/>
          <w:sz w:val="24"/>
          <w:szCs w:val="24"/>
        </w:rPr>
        <w:t xml:space="preserve">Manjengwa </w:t>
      </w:r>
      <w:r>
        <w:rPr>
          <w:rFonts w:ascii="Times New Roman" w:hAnsi="Times New Roman" w:cs="Times New Roman"/>
          <w:sz w:val="24"/>
          <w:szCs w:val="24"/>
        </w:rPr>
        <w:t xml:space="preserve">submitted that the material disputes of fact were largely as outlined in paras 3 to 9 of the respondent’s opposing affidavit. Before I go through the outlined factual disputes, I should point out that one difficulty that such objections pose for the court is that the points </w:t>
      </w:r>
      <w:r w:rsidRPr="002D2CB7">
        <w:rPr>
          <w:rFonts w:ascii="Times New Roman" w:hAnsi="Times New Roman" w:cs="Times New Roman"/>
          <w:i/>
          <w:sz w:val="24"/>
          <w:szCs w:val="24"/>
        </w:rPr>
        <w:t>in limine</w:t>
      </w:r>
      <w:r>
        <w:rPr>
          <w:rFonts w:ascii="Times New Roman" w:hAnsi="Times New Roman" w:cs="Times New Roman"/>
          <w:i/>
          <w:sz w:val="24"/>
          <w:szCs w:val="24"/>
        </w:rPr>
        <w:t xml:space="preserve"> </w:t>
      </w:r>
      <w:r>
        <w:rPr>
          <w:rFonts w:ascii="Times New Roman" w:hAnsi="Times New Roman" w:cs="Times New Roman"/>
          <w:sz w:val="24"/>
          <w:szCs w:val="24"/>
        </w:rPr>
        <w:t xml:space="preserve">deal with the substance of the application as opposed to form. The court cannot determine the point </w:t>
      </w:r>
      <w:r w:rsidRPr="002D2CB7">
        <w:rPr>
          <w:rFonts w:ascii="Times New Roman" w:hAnsi="Times New Roman" w:cs="Times New Roman"/>
          <w:i/>
          <w:sz w:val="24"/>
          <w:szCs w:val="24"/>
        </w:rPr>
        <w:t>in limine</w:t>
      </w:r>
      <w:r>
        <w:rPr>
          <w:rFonts w:ascii="Times New Roman" w:hAnsi="Times New Roman" w:cs="Times New Roman"/>
          <w:i/>
          <w:sz w:val="24"/>
          <w:szCs w:val="24"/>
        </w:rPr>
        <w:t xml:space="preserve"> </w:t>
      </w:r>
      <w:r>
        <w:rPr>
          <w:rFonts w:ascii="Times New Roman" w:hAnsi="Times New Roman" w:cs="Times New Roman"/>
          <w:sz w:val="24"/>
          <w:szCs w:val="24"/>
        </w:rPr>
        <w:t>that there are material disputes of fact without going through the whole application. This is so because what may indeed be a factual dispute apparent on the papers may not be fundamental to the determination of whether or not the order sought in the application should be granted or refused. The question therefore remains as “At what stage of the hearing should the court determine whether or not there are disputes of fact which are not only incapable of resolution on the papers but are fundamental and material to determination to be made.</w:t>
      </w:r>
      <w:r w:rsidR="00C20CB4">
        <w:rPr>
          <w:rFonts w:ascii="Times New Roman" w:hAnsi="Times New Roman" w:cs="Times New Roman"/>
          <w:sz w:val="24"/>
          <w:szCs w:val="24"/>
        </w:rPr>
        <w:t xml:space="preserve"> Sometimes the affidavits do not clearly expose the alleged material dispute of fact.</w:t>
      </w:r>
      <w:r>
        <w:rPr>
          <w:rFonts w:ascii="Times New Roman" w:hAnsi="Times New Roman" w:cs="Times New Roman"/>
          <w:sz w:val="24"/>
          <w:szCs w:val="24"/>
        </w:rPr>
        <w:t xml:space="preserve"> The practice in this court has invariably been to require the party raising the point </w:t>
      </w:r>
      <w:r>
        <w:rPr>
          <w:rFonts w:ascii="Times New Roman" w:hAnsi="Times New Roman" w:cs="Times New Roman"/>
          <w:i/>
          <w:sz w:val="24"/>
          <w:szCs w:val="24"/>
        </w:rPr>
        <w:t>in limine</w:t>
      </w:r>
      <w:r>
        <w:rPr>
          <w:rFonts w:ascii="Times New Roman" w:hAnsi="Times New Roman" w:cs="Times New Roman"/>
          <w:sz w:val="24"/>
          <w:szCs w:val="24"/>
        </w:rPr>
        <w:t xml:space="preserve"> to address the objection and an answer given by the opposing party with a determination made before the merits of the matter are determined. I would favour the approach whereby this kind of objection is made with reference to the main matter to avoid repetitions both in submissions made and when composing the judgment. It may well be that a matter ends up being determined on other grounds alleged in the papers and not on the material disputed fact</w:t>
      </w:r>
      <w:r w:rsidR="00C20CB4">
        <w:rPr>
          <w:rFonts w:ascii="Times New Roman" w:hAnsi="Times New Roman" w:cs="Times New Roman"/>
          <w:sz w:val="24"/>
          <w:szCs w:val="24"/>
        </w:rPr>
        <w:t xml:space="preserve"> alleged by the parties. Arguments on dispute of fact become academic.</w:t>
      </w:r>
    </w:p>
    <w:p w:rsidR="00BB4A80" w:rsidRDefault="00BB4A80" w:rsidP="00BB4A80">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The approach I followed was to call Mr </w:t>
      </w:r>
      <w:r>
        <w:rPr>
          <w:rFonts w:ascii="Times New Roman" w:hAnsi="Times New Roman" w:cs="Times New Roman"/>
          <w:i/>
          <w:sz w:val="24"/>
          <w:szCs w:val="24"/>
        </w:rPr>
        <w:t xml:space="preserve">Manjengwa </w:t>
      </w:r>
      <w:r>
        <w:rPr>
          <w:rFonts w:ascii="Times New Roman" w:hAnsi="Times New Roman" w:cs="Times New Roman"/>
          <w:sz w:val="24"/>
          <w:szCs w:val="24"/>
        </w:rPr>
        <w:t xml:space="preserve">to motivate the respondent’s point </w:t>
      </w:r>
      <w:r w:rsidRPr="002E7467">
        <w:rPr>
          <w:rFonts w:ascii="Times New Roman" w:hAnsi="Times New Roman" w:cs="Times New Roman"/>
          <w:i/>
          <w:sz w:val="24"/>
          <w:szCs w:val="24"/>
        </w:rPr>
        <w:t>in limine</w:t>
      </w:r>
      <w:r>
        <w:rPr>
          <w:rFonts w:ascii="Times New Roman" w:hAnsi="Times New Roman" w:cs="Times New Roman"/>
          <w:i/>
          <w:sz w:val="24"/>
          <w:szCs w:val="24"/>
        </w:rPr>
        <w:t xml:space="preserve"> </w:t>
      </w:r>
      <w:r>
        <w:rPr>
          <w:rFonts w:ascii="Times New Roman" w:hAnsi="Times New Roman" w:cs="Times New Roman"/>
          <w:sz w:val="24"/>
          <w:szCs w:val="24"/>
        </w:rPr>
        <w:t xml:space="preserve">and thereafter the applicant’s counsel Mr </w:t>
      </w:r>
      <w:r w:rsidRPr="00454B5B">
        <w:rPr>
          <w:rFonts w:ascii="Times New Roman" w:hAnsi="Times New Roman" w:cs="Times New Roman"/>
          <w:i/>
          <w:sz w:val="24"/>
          <w:szCs w:val="24"/>
        </w:rPr>
        <w:t>Uriri</w:t>
      </w:r>
      <w:r>
        <w:rPr>
          <w:rFonts w:ascii="Times New Roman" w:hAnsi="Times New Roman" w:cs="Times New Roman"/>
          <w:sz w:val="24"/>
          <w:szCs w:val="24"/>
        </w:rPr>
        <w:t xml:space="preserve"> responded. After Mr </w:t>
      </w:r>
      <w:r>
        <w:rPr>
          <w:rFonts w:ascii="Times New Roman" w:hAnsi="Times New Roman" w:cs="Times New Roman"/>
          <w:i/>
          <w:sz w:val="24"/>
          <w:szCs w:val="24"/>
        </w:rPr>
        <w:t xml:space="preserve">Manjengwa’s </w:t>
      </w:r>
      <w:r w:rsidRPr="00454B5B">
        <w:rPr>
          <w:rFonts w:ascii="Times New Roman" w:hAnsi="Times New Roman" w:cs="Times New Roman"/>
          <w:sz w:val="24"/>
          <w:szCs w:val="24"/>
        </w:rPr>
        <w:t>reply, I considered the submissions</w:t>
      </w:r>
      <w:r>
        <w:rPr>
          <w:rFonts w:ascii="Times New Roman" w:hAnsi="Times New Roman" w:cs="Times New Roman"/>
          <w:sz w:val="24"/>
          <w:szCs w:val="24"/>
        </w:rPr>
        <w:t xml:space="preserve"> and dismissed the point </w:t>
      </w:r>
      <w:r>
        <w:rPr>
          <w:rFonts w:ascii="Times New Roman" w:hAnsi="Times New Roman" w:cs="Times New Roman"/>
          <w:i/>
          <w:sz w:val="24"/>
          <w:szCs w:val="24"/>
        </w:rPr>
        <w:t xml:space="preserve">in limine. </w:t>
      </w:r>
      <w:r>
        <w:rPr>
          <w:rFonts w:ascii="Times New Roman" w:hAnsi="Times New Roman" w:cs="Times New Roman"/>
          <w:sz w:val="24"/>
          <w:szCs w:val="24"/>
        </w:rPr>
        <w:t>I directed that counsel address the main issue. The reason for dismiss</w:t>
      </w:r>
      <w:r w:rsidR="00C20CB4">
        <w:rPr>
          <w:rFonts w:ascii="Times New Roman" w:hAnsi="Times New Roman" w:cs="Times New Roman"/>
          <w:sz w:val="24"/>
          <w:szCs w:val="24"/>
        </w:rPr>
        <w:t>al</w:t>
      </w:r>
      <w:r>
        <w:rPr>
          <w:rFonts w:ascii="Times New Roman" w:hAnsi="Times New Roman" w:cs="Times New Roman"/>
          <w:sz w:val="24"/>
          <w:szCs w:val="24"/>
        </w:rPr>
        <w:t xml:space="preserve"> were to form part of the main judgment. They follow hereunder </w:t>
      </w:r>
      <w:r w:rsidR="00C20CB4">
        <w:rPr>
          <w:rFonts w:ascii="Times New Roman" w:hAnsi="Times New Roman" w:cs="Times New Roman"/>
          <w:sz w:val="24"/>
          <w:szCs w:val="24"/>
        </w:rPr>
        <w:t xml:space="preserve"> taken </w:t>
      </w:r>
      <w:r>
        <w:rPr>
          <w:rFonts w:ascii="Times New Roman" w:hAnsi="Times New Roman" w:cs="Times New Roman"/>
          <w:sz w:val="24"/>
          <w:szCs w:val="24"/>
        </w:rPr>
        <w:t>together with reasons for the judgment in the main</w:t>
      </w:r>
      <w:r w:rsidR="00C20CB4">
        <w:rPr>
          <w:rFonts w:ascii="Times New Roman" w:hAnsi="Times New Roman" w:cs="Times New Roman"/>
          <w:sz w:val="24"/>
          <w:szCs w:val="24"/>
        </w:rPr>
        <w:t xml:space="preserve"> application</w:t>
      </w:r>
      <w:r>
        <w:rPr>
          <w:rFonts w:ascii="Times New Roman" w:hAnsi="Times New Roman" w:cs="Times New Roman"/>
          <w:sz w:val="24"/>
          <w:szCs w:val="24"/>
        </w:rPr>
        <w:t>.</w:t>
      </w:r>
    </w:p>
    <w:p w:rsidR="00BB4A80" w:rsidRDefault="00BB4A80" w:rsidP="00BB4A80">
      <w:pPr>
        <w:spacing w:after="0" w:line="360" w:lineRule="auto"/>
        <w:jc w:val="both"/>
        <w:rPr>
          <w:rFonts w:ascii="Times New Roman" w:hAnsi="Times New Roman" w:cs="Times New Roman"/>
          <w:sz w:val="24"/>
          <w:szCs w:val="24"/>
          <w:u w:val="single"/>
        </w:rPr>
      </w:pPr>
      <w:r w:rsidRPr="00454B5B">
        <w:rPr>
          <w:rFonts w:ascii="Times New Roman" w:hAnsi="Times New Roman" w:cs="Times New Roman"/>
          <w:sz w:val="24"/>
          <w:szCs w:val="24"/>
          <w:u w:val="single"/>
        </w:rPr>
        <w:t>Background</w:t>
      </w:r>
    </w:p>
    <w:p w:rsidR="00BB4A80" w:rsidRDefault="00BB4A80" w:rsidP="00BB4A8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Both the applicant and respondent are duly incorporated and registered Zimbabwean companies in terms of the Companies Act, [</w:t>
      </w:r>
      <w:r w:rsidRPr="00454B5B">
        <w:rPr>
          <w:rFonts w:ascii="Times New Roman" w:hAnsi="Times New Roman" w:cs="Times New Roman"/>
          <w:i/>
          <w:sz w:val="24"/>
          <w:szCs w:val="24"/>
        </w:rPr>
        <w:t>Chapter 24:03</w:t>
      </w:r>
      <w:r>
        <w:rPr>
          <w:rFonts w:ascii="Times New Roman" w:hAnsi="Times New Roman" w:cs="Times New Roman"/>
          <w:sz w:val="24"/>
          <w:szCs w:val="24"/>
        </w:rPr>
        <w:t>]. The respondent company is state owned by the Government of Zimbabwe</w:t>
      </w:r>
      <w:r w:rsidR="00C20CB4">
        <w:rPr>
          <w:rFonts w:ascii="Times New Roman" w:hAnsi="Times New Roman" w:cs="Times New Roman"/>
          <w:sz w:val="24"/>
          <w:szCs w:val="24"/>
        </w:rPr>
        <w:t>,</w:t>
      </w:r>
      <w:r>
        <w:rPr>
          <w:rFonts w:ascii="Times New Roman" w:hAnsi="Times New Roman" w:cs="Times New Roman"/>
          <w:sz w:val="24"/>
          <w:szCs w:val="24"/>
        </w:rPr>
        <w:t xml:space="preserve"> it being a subsidiary company of ZESA Holdings (Pvt) Ltd. Both parties enjoy power to sue and be sued.</w:t>
      </w:r>
    </w:p>
    <w:p w:rsidR="00BB4A80" w:rsidRDefault="00BB4A80" w:rsidP="00BB4A8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dispute between the parties relates to a contract that the parties entered into on 23 October 2015. The scope of the contract related to the provision by the applicant as contractor, of engineering, procurement and construction of an 100 megawatt (MW) solar power station at Gwanda. The scope of works was referred to as the Gwanda Solar Power Station Project. The respondent as employer was the beneficiary or would become the owner of the project. The applicant had a Technical Partner; CHINT Electric Co. Ltd, a Chinese Company, specially mentioned as such in the contract, albeit it did not sign the contract. The technical partner was therefore one with the applicant with the two being jointly and severally liable with the applicant on the contract. The copy of the agreement executed by the parties is attached as Annexure D</w:t>
      </w:r>
      <w:r w:rsidR="00C20CB4">
        <w:rPr>
          <w:rFonts w:ascii="Times New Roman" w:hAnsi="Times New Roman" w:cs="Times New Roman"/>
          <w:sz w:val="24"/>
          <w:szCs w:val="24"/>
        </w:rPr>
        <w:t xml:space="preserve"> to the applicant’s founding affidavit</w:t>
      </w:r>
      <w:r>
        <w:rPr>
          <w:rFonts w:ascii="Times New Roman" w:hAnsi="Times New Roman" w:cs="Times New Roman"/>
          <w:sz w:val="24"/>
          <w:szCs w:val="24"/>
        </w:rPr>
        <w:t>.</w:t>
      </w:r>
    </w:p>
    <w:p w:rsidR="00BB4A80" w:rsidRDefault="00BB4A80" w:rsidP="00BB4A8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An analysis of the contract does strike one as a very complicated one. The truth is that it is not at all a complex contract. The principal clauses of the contract agreement including the signature page comprise 7 printed pages. The pages in the court record which encompass the principal clause are 57 to 63. Thereafter there are further documents running from p 64 – 173. The documents included in these pages comprise the schedule of document referred to in clause 2 of the principal clauses. The schedule includes documents numbered 1 – 13 and they form an appendix or appendage to the contract agreement. It is not necessary for purposes of the judgment to itemize each of the documents comprising the schedule and to analyze  them individually</w:t>
      </w:r>
      <w:r w:rsidR="00C20CB4">
        <w:rPr>
          <w:rFonts w:ascii="Times New Roman" w:hAnsi="Times New Roman" w:cs="Times New Roman"/>
          <w:sz w:val="24"/>
          <w:szCs w:val="24"/>
        </w:rPr>
        <w:t xml:space="preserve">. It </w:t>
      </w:r>
      <w:r>
        <w:rPr>
          <w:rFonts w:ascii="Times New Roman" w:hAnsi="Times New Roman" w:cs="Times New Roman"/>
          <w:sz w:val="24"/>
          <w:szCs w:val="24"/>
        </w:rPr>
        <w:t>suffice</w:t>
      </w:r>
      <w:r w:rsidR="00C20CB4">
        <w:rPr>
          <w:rFonts w:ascii="Times New Roman" w:hAnsi="Times New Roman" w:cs="Times New Roman"/>
          <w:sz w:val="24"/>
          <w:szCs w:val="24"/>
        </w:rPr>
        <w:t>s</w:t>
      </w:r>
      <w:r>
        <w:rPr>
          <w:rFonts w:ascii="Times New Roman" w:hAnsi="Times New Roman" w:cs="Times New Roman"/>
          <w:sz w:val="24"/>
          <w:szCs w:val="24"/>
        </w:rPr>
        <w:t xml:space="preserve"> that the appendix provided </w:t>
      </w:r>
      <w:r w:rsidR="00E54830">
        <w:rPr>
          <w:rFonts w:ascii="Times New Roman" w:hAnsi="Times New Roman" w:cs="Times New Roman"/>
          <w:sz w:val="24"/>
          <w:szCs w:val="24"/>
        </w:rPr>
        <w:t xml:space="preserve">conditions of the contract and </w:t>
      </w:r>
      <w:r>
        <w:rPr>
          <w:rFonts w:ascii="Times New Roman" w:hAnsi="Times New Roman" w:cs="Times New Roman"/>
          <w:sz w:val="24"/>
          <w:szCs w:val="24"/>
        </w:rPr>
        <w:t xml:space="preserve"> it was to be read as simply adding particularity</w:t>
      </w:r>
      <w:r w:rsidR="00E54830">
        <w:rPr>
          <w:rFonts w:ascii="Times New Roman" w:hAnsi="Times New Roman" w:cs="Times New Roman"/>
          <w:sz w:val="24"/>
          <w:szCs w:val="24"/>
        </w:rPr>
        <w:t xml:space="preserve"> and flesh</w:t>
      </w:r>
      <w:r>
        <w:rPr>
          <w:rFonts w:ascii="Times New Roman" w:hAnsi="Times New Roman" w:cs="Times New Roman"/>
          <w:sz w:val="24"/>
          <w:szCs w:val="24"/>
        </w:rPr>
        <w:t xml:space="preserve"> to relevant clauses of the contract agreement.</w:t>
      </w:r>
    </w:p>
    <w:p w:rsidR="00BB4A80" w:rsidRPr="000346B5" w:rsidRDefault="00BB4A80" w:rsidP="00BB4A80">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For the record or for posterity it should be mentioned that the contract agreement was for payment of USD$172 848 597.60 by the respondent to the applicant as consideration for the applicant to “undertake the feasibility study and produce a report thereof, design, supply, execute and complete the works and remedy any defects therein in conformity with the provisions of the contract.” Payment of the contract price was to be effected by the respondent in the manner and at times as stipulated by the contract agreement. Certain clauses in the conditions of the contract which conditions form part of the appendix referred to were to take effect on signature of the contract agreement. The clauses which became effective on signature of the agreement are set out in clause 5 of the annexure aforesaid. </w:t>
      </w:r>
      <w:r w:rsidRPr="000346B5">
        <w:rPr>
          <w:rFonts w:ascii="Times New Roman" w:hAnsi="Times New Roman" w:cs="Times New Roman"/>
          <w:sz w:val="24"/>
          <w:szCs w:val="24"/>
        </w:rPr>
        <w:t>Other conditions number 5 (a) to 5 (i) as again set out in annexure D were made suspensive conditions on whose satisfaction the contract agreement would commence. The contract agreement referred to them as “conditions precedent.” The conditions were set out as follows in detail.</w:t>
      </w:r>
    </w:p>
    <w:p w:rsidR="00BB4A80" w:rsidRPr="00E54830" w:rsidRDefault="00BB4A80" w:rsidP="00BB4A80">
      <w:pPr>
        <w:spacing w:after="0" w:line="240" w:lineRule="auto"/>
        <w:jc w:val="both"/>
        <w:rPr>
          <w:rFonts w:ascii="Times New Roman" w:hAnsi="Times New Roman" w:cs="Times New Roman"/>
        </w:rPr>
      </w:pPr>
      <w:r w:rsidRPr="000346B5">
        <w:rPr>
          <w:rFonts w:ascii="Times New Roman" w:hAnsi="Times New Roman" w:cs="Times New Roman"/>
          <w:sz w:val="24"/>
          <w:szCs w:val="24"/>
        </w:rPr>
        <w:tab/>
      </w:r>
      <w:r w:rsidRPr="00E54830">
        <w:rPr>
          <w:rFonts w:ascii="Times New Roman" w:hAnsi="Times New Roman" w:cs="Times New Roman"/>
        </w:rPr>
        <w:t xml:space="preserve">“    a) </w:t>
      </w:r>
      <w:r w:rsidRPr="00E54830">
        <w:rPr>
          <w:rFonts w:ascii="Times New Roman" w:hAnsi="Times New Roman" w:cs="Times New Roman"/>
        </w:rPr>
        <w:tab/>
        <w:t xml:space="preserve">the financing agreements have been signed, come into full force and effect and all </w:t>
      </w:r>
      <w:r w:rsidRPr="00E54830">
        <w:rPr>
          <w:rFonts w:ascii="Times New Roman" w:hAnsi="Times New Roman" w:cs="Times New Roman"/>
        </w:rPr>
        <w:tab/>
      </w:r>
      <w:r w:rsidRPr="00E54830">
        <w:rPr>
          <w:rFonts w:ascii="Times New Roman" w:hAnsi="Times New Roman" w:cs="Times New Roman"/>
        </w:rPr>
        <w:tab/>
        <w:t xml:space="preserve">of the conditions to the first draw down of funds (other than in relation to any </w:t>
      </w:r>
      <w:r w:rsidRPr="00E54830">
        <w:rPr>
          <w:rFonts w:ascii="Times New Roman" w:hAnsi="Times New Roman" w:cs="Times New Roman"/>
        </w:rPr>
        <w:tab/>
      </w:r>
      <w:r w:rsidRPr="00E54830">
        <w:rPr>
          <w:rFonts w:ascii="Times New Roman" w:hAnsi="Times New Roman" w:cs="Times New Roman"/>
        </w:rPr>
        <w:tab/>
      </w:r>
      <w:r w:rsidRPr="00E54830">
        <w:rPr>
          <w:rFonts w:ascii="Times New Roman" w:hAnsi="Times New Roman" w:cs="Times New Roman"/>
        </w:rPr>
        <w:tab/>
        <w:t xml:space="preserve">conditions which relate solely to the effectiveness of the contract) have been </w:t>
      </w:r>
      <w:r w:rsidRPr="00E54830">
        <w:rPr>
          <w:rFonts w:ascii="Times New Roman" w:hAnsi="Times New Roman" w:cs="Times New Roman"/>
        </w:rPr>
        <w:tab/>
      </w:r>
      <w:r w:rsidRPr="00E54830">
        <w:rPr>
          <w:rFonts w:ascii="Times New Roman" w:hAnsi="Times New Roman" w:cs="Times New Roman"/>
        </w:rPr>
        <w:tab/>
      </w:r>
      <w:r w:rsidRPr="00E54830">
        <w:rPr>
          <w:rFonts w:ascii="Times New Roman" w:hAnsi="Times New Roman" w:cs="Times New Roman"/>
        </w:rPr>
        <w:tab/>
        <w:t>satisfied;</w:t>
      </w:r>
    </w:p>
    <w:p w:rsidR="00BB4A80" w:rsidRPr="00E54830" w:rsidRDefault="00BB4A80" w:rsidP="00BB4A80">
      <w:pPr>
        <w:pStyle w:val="ListParagraph"/>
        <w:numPr>
          <w:ilvl w:val="0"/>
          <w:numId w:val="1"/>
        </w:numPr>
        <w:spacing w:after="0" w:line="240" w:lineRule="auto"/>
        <w:jc w:val="both"/>
        <w:rPr>
          <w:rFonts w:ascii="Times New Roman" w:hAnsi="Times New Roman" w:cs="Times New Roman"/>
        </w:rPr>
      </w:pPr>
      <w:r w:rsidRPr="00E54830">
        <w:rPr>
          <w:rFonts w:ascii="Times New Roman" w:hAnsi="Times New Roman" w:cs="Times New Roman"/>
        </w:rPr>
        <w:t>The advance payment demand guarantee is provided to the Employer by the Contractor in accordance with sub-clause 14.2;</w:t>
      </w:r>
    </w:p>
    <w:p w:rsidR="00BB4A80" w:rsidRPr="00E54830" w:rsidRDefault="00BB4A80" w:rsidP="00BB4A80">
      <w:pPr>
        <w:pStyle w:val="ListParagraph"/>
        <w:numPr>
          <w:ilvl w:val="0"/>
          <w:numId w:val="1"/>
        </w:numPr>
        <w:spacing w:after="0" w:line="240" w:lineRule="auto"/>
        <w:jc w:val="both"/>
        <w:rPr>
          <w:rFonts w:ascii="Times New Roman" w:hAnsi="Times New Roman" w:cs="Times New Roman"/>
        </w:rPr>
      </w:pPr>
      <w:r w:rsidRPr="00E54830">
        <w:rPr>
          <w:rFonts w:ascii="Times New Roman" w:hAnsi="Times New Roman" w:cs="Times New Roman"/>
        </w:rPr>
        <w:t>The contractor receives the amount of the advance payment in accordance with sub-clause 14.2.</w:t>
      </w:r>
    </w:p>
    <w:p w:rsidR="00BB4A80" w:rsidRPr="00E54830" w:rsidRDefault="00BB4A80" w:rsidP="00BB4A80">
      <w:pPr>
        <w:pStyle w:val="ListParagraph"/>
        <w:numPr>
          <w:ilvl w:val="0"/>
          <w:numId w:val="1"/>
        </w:numPr>
        <w:spacing w:after="0" w:line="240" w:lineRule="auto"/>
        <w:jc w:val="both"/>
        <w:rPr>
          <w:rFonts w:ascii="Times New Roman" w:hAnsi="Times New Roman" w:cs="Times New Roman"/>
        </w:rPr>
      </w:pPr>
      <w:r w:rsidRPr="00E54830">
        <w:rPr>
          <w:rFonts w:ascii="Times New Roman" w:hAnsi="Times New Roman" w:cs="Times New Roman"/>
        </w:rPr>
        <w:t>The performance security is provided to the employer by the contractor in accordance with sub-clause 4.2</w:t>
      </w:r>
    </w:p>
    <w:p w:rsidR="00BB4A80" w:rsidRPr="00E54830" w:rsidRDefault="00BB4A80" w:rsidP="00BB4A80">
      <w:pPr>
        <w:pStyle w:val="ListParagraph"/>
        <w:numPr>
          <w:ilvl w:val="0"/>
          <w:numId w:val="1"/>
        </w:numPr>
        <w:spacing w:after="0" w:line="240" w:lineRule="auto"/>
        <w:jc w:val="both"/>
        <w:rPr>
          <w:rFonts w:ascii="Times New Roman" w:hAnsi="Times New Roman" w:cs="Times New Roman"/>
        </w:rPr>
      </w:pPr>
      <w:r w:rsidRPr="00E54830">
        <w:rPr>
          <w:rFonts w:ascii="Times New Roman" w:hAnsi="Times New Roman" w:cs="Times New Roman"/>
        </w:rPr>
        <w:t>The completion of feasibility studies with bankable findings alig</w:t>
      </w:r>
      <w:r w:rsidR="00E54830">
        <w:rPr>
          <w:rFonts w:ascii="Times New Roman" w:hAnsi="Times New Roman" w:cs="Times New Roman"/>
        </w:rPr>
        <w:t>n</w:t>
      </w:r>
      <w:r w:rsidRPr="00E54830">
        <w:rPr>
          <w:rFonts w:ascii="Times New Roman" w:hAnsi="Times New Roman" w:cs="Times New Roman"/>
        </w:rPr>
        <w:t>able to the implementation of the project;</w:t>
      </w:r>
    </w:p>
    <w:p w:rsidR="00BB4A80" w:rsidRPr="00E54830" w:rsidRDefault="00BB4A80" w:rsidP="00BB4A80">
      <w:pPr>
        <w:pStyle w:val="ListParagraph"/>
        <w:numPr>
          <w:ilvl w:val="0"/>
          <w:numId w:val="1"/>
        </w:numPr>
        <w:spacing w:after="0" w:line="240" w:lineRule="auto"/>
        <w:jc w:val="both"/>
        <w:rPr>
          <w:rFonts w:ascii="Times New Roman" w:hAnsi="Times New Roman" w:cs="Times New Roman"/>
        </w:rPr>
      </w:pPr>
      <w:r w:rsidRPr="00E54830">
        <w:rPr>
          <w:rFonts w:ascii="Times New Roman" w:hAnsi="Times New Roman" w:cs="Times New Roman"/>
        </w:rPr>
        <w:t>Due diligence exercise by the employer;</w:t>
      </w:r>
    </w:p>
    <w:p w:rsidR="00BB4A80" w:rsidRPr="00E54830" w:rsidRDefault="00BB4A80" w:rsidP="00BB4A80">
      <w:pPr>
        <w:pStyle w:val="ListParagraph"/>
        <w:numPr>
          <w:ilvl w:val="0"/>
          <w:numId w:val="1"/>
        </w:numPr>
        <w:spacing w:after="0" w:line="240" w:lineRule="auto"/>
        <w:jc w:val="both"/>
        <w:rPr>
          <w:rFonts w:ascii="Times New Roman" w:hAnsi="Times New Roman" w:cs="Times New Roman"/>
        </w:rPr>
      </w:pPr>
      <w:r w:rsidRPr="00E54830">
        <w:rPr>
          <w:rFonts w:ascii="Times New Roman" w:hAnsi="Times New Roman" w:cs="Times New Roman"/>
        </w:rPr>
        <w:t>Production of an Environmental Impact Assessment (“EIA”) certificate.</w:t>
      </w:r>
    </w:p>
    <w:p w:rsidR="00BB4A80" w:rsidRPr="00E54830" w:rsidRDefault="00BB4A80" w:rsidP="00BB4A80">
      <w:pPr>
        <w:pStyle w:val="ListParagraph"/>
        <w:numPr>
          <w:ilvl w:val="0"/>
          <w:numId w:val="1"/>
        </w:numPr>
        <w:spacing w:after="0" w:line="240" w:lineRule="auto"/>
        <w:jc w:val="both"/>
        <w:rPr>
          <w:rFonts w:ascii="Times New Roman" w:hAnsi="Times New Roman" w:cs="Times New Roman"/>
        </w:rPr>
      </w:pPr>
      <w:r w:rsidRPr="00E54830">
        <w:rPr>
          <w:rFonts w:ascii="Times New Roman" w:hAnsi="Times New Roman" w:cs="Times New Roman"/>
        </w:rPr>
        <w:t>Acquisition of land for the project by the employer as informed the feasibility studies (sic).</w:t>
      </w:r>
    </w:p>
    <w:p w:rsidR="00BB4A80" w:rsidRPr="00E54830" w:rsidRDefault="00BB4A80" w:rsidP="00BB4A80">
      <w:pPr>
        <w:pStyle w:val="ListParagraph"/>
        <w:numPr>
          <w:ilvl w:val="0"/>
          <w:numId w:val="1"/>
        </w:numPr>
        <w:spacing w:after="0" w:line="240" w:lineRule="auto"/>
        <w:jc w:val="both"/>
        <w:rPr>
          <w:rFonts w:ascii="Times New Roman" w:hAnsi="Times New Roman" w:cs="Times New Roman"/>
        </w:rPr>
      </w:pPr>
      <w:r w:rsidRPr="00E54830">
        <w:rPr>
          <w:rFonts w:ascii="Times New Roman" w:hAnsi="Times New Roman" w:cs="Times New Roman"/>
        </w:rPr>
        <w:t>Corporate authorisations having been obtained by both parties.”</w:t>
      </w:r>
    </w:p>
    <w:p w:rsidR="00BB4A80" w:rsidRDefault="00BB4A80" w:rsidP="00BB4A80">
      <w:pPr>
        <w:spacing w:after="0" w:line="240" w:lineRule="auto"/>
        <w:jc w:val="both"/>
        <w:rPr>
          <w:rFonts w:ascii="Times New Roman" w:hAnsi="Times New Roman" w:cs="Times New Roman"/>
          <w:sz w:val="24"/>
          <w:szCs w:val="24"/>
        </w:rPr>
      </w:pPr>
    </w:p>
    <w:p w:rsidR="00BB4A80" w:rsidRDefault="00BB4A80" w:rsidP="00BB4A8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Significantly the contract agreement explicitly provided that the suspensive or conditions precedent should have been satisfied within 24 months after the date of signature by both parties. The period of 24 months was captured or co</w:t>
      </w:r>
      <w:r w:rsidR="00E54830">
        <w:rPr>
          <w:rFonts w:ascii="Times New Roman" w:hAnsi="Times New Roman" w:cs="Times New Roman"/>
          <w:sz w:val="24"/>
          <w:szCs w:val="24"/>
        </w:rPr>
        <w:t>i</w:t>
      </w:r>
      <w:r>
        <w:rPr>
          <w:rFonts w:ascii="Times New Roman" w:hAnsi="Times New Roman" w:cs="Times New Roman"/>
          <w:sz w:val="24"/>
          <w:szCs w:val="24"/>
        </w:rPr>
        <w:t>ned in the contract agreement as “C P satisfaction period.”</w:t>
      </w:r>
      <w:r w:rsidR="00E54830">
        <w:rPr>
          <w:rFonts w:ascii="Times New Roman" w:hAnsi="Times New Roman" w:cs="Times New Roman"/>
          <w:sz w:val="24"/>
          <w:szCs w:val="24"/>
        </w:rPr>
        <w:t xml:space="preserve"> CP referred to conditions Precedent.</w:t>
      </w:r>
      <w:r>
        <w:rPr>
          <w:rFonts w:ascii="Times New Roman" w:hAnsi="Times New Roman" w:cs="Times New Roman"/>
          <w:sz w:val="24"/>
          <w:szCs w:val="24"/>
        </w:rPr>
        <w:t xml:space="preserve"> In the event that “all” or “any” of the suspensive conditions were not satisfied on or before the 24 months, the contract agreement provided as follows:</w:t>
      </w:r>
    </w:p>
    <w:p w:rsidR="00BB4A80" w:rsidRDefault="00BB4A80" w:rsidP="00BB4A80">
      <w:pPr>
        <w:spacing w:after="0" w:line="240" w:lineRule="auto"/>
        <w:jc w:val="both"/>
        <w:rPr>
          <w:rFonts w:ascii="Times New Roman" w:hAnsi="Times New Roman" w:cs="Times New Roman"/>
        </w:rPr>
      </w:pPr>
      <w:r>
        <w:rPr>
          <w:rFonts w:ascii="Times New Roman" w:hAnsi="Times New Roman" w:cs="Times New Roman"/>
          <w:sz w:val="24"/>
          <w:szCs w:val="24"/>
        </w:rPr>
        <w:tab/>
      </w:r>
      <w:r w:rsidRPr="00A358F2">
        <w:rPr>
          <w:rFonts w:ascii="Times New Roman" w:hAnsi="Times New Roman" w:cs="Times New Roman"/>
        </w:rPr>
        <w:t xml:space="preserve">“… the parties shall meet to review progress towards satisfaction of such conditions </w:t>
      </w:r>
      <w:r w:rsidRPr="00A358F2">
        <w:rPr>
          <w:rFonts w:ascii="Times New Roman" w:hAnsi="Times New Roman" w:cs="Times New Roman"/>
        </w:rPr>
        <w:tab/>
        <w:t xml:space="preserve">precedent and the employer may in its sole discretion on or at any time prior to that date being </w:t>
      </w:r>
      <w:r>
        <w:rPr>
          <w:rFonts w:ascii="Times New Roman" w:hAnsi="Times New Roman" w:cs="Times New Roman"/>
        </w:rPr>
        <w:lastRenderedPageBreak/>
        <w:tab/>
      </w:r>
      <w:r w:rsidRPr="00A358F2">
        <w:rPr>
          <w:rFonts w:ascii="Times New Roman" w:hAnsi="Times New Roman" w:cs="Times New Roman"/>
        </w:rPr>
        <w:t xml:space="preserve">24 months after the date of the signature of this agreement by both parties elect to extend the CP </w:t>
      </w:r>
      <w:r>
        <w:rPr>
          <w:rFonts w:ascii="Times New Roman" w:hAnsi="Times New Roman" w:cs="Times New Roman"/>
        </w:rPr>
        <w:tab/>
      </w:r>
      <w:r w:rsidRPr="00A358F2">
        <w:rPr>
          <w:rFonts w:ascii="Times New Roman" w:hAnsi="Times New Roman" w:cs="Times New Roman"/>
        </w:rPr>
        <w:t>satisfaction period by a further 6 months by giving notice thereof to the contractor.</w:t>
      </w:r>
      <w:r>
        <w:rPr>
          <w:rFonts w:ascii="Times New Roman" w:hAnsi="Times New Roman" w:cs="Times New Roman"/>
        </w:rPr>
        <w:t xml:space="preserve"> If </w:t>
      </w:r>
      <w:r w:rsidRPr="00A358F2">
        <w:rPr>
          <w:rFonts w:ascii="Times New Roman" w:hAnsi="Times New Roman" w:cs="Times New Roman"/>
        </w:rPr>
        <w:t xml:space="preserve">the </w:t>
      </w:r>
      <w:r>
        <w:rPr>
          <w:rFonts w:ascii="Times New Roman" w:hAnsi="Times New Roman" w:cs="Times New Roman"/>
        </w:rPr>
        <w:tab/>
      </w:r>
      <w:r w:rsidRPr="00A358F2">
        <w:rPr>
          <w:rFonts w:ascii="Times New Roman" w:hAnsi="Times New Roman" w:cs="Times New Roman"/>
        </w:rPr>
        <w:t xml:space="preserve">conditions precedent are not satisfied on or before the expiry of the CP satisfaction period (as </w:t>
      </w:r>
      <w:r>
        <w:rPr>
          <w:rFonts w:ascii="Times New Roman" w:hAnsi="Times New Roman" w:cs="Times New Roman"/>
        </w:rPr>
        <w:tab/>
      </w:r>
      <w:r w:rsidRPr="00A358F2">
        <w:rPr>
          <w:rFonts w:ascii="Times New Roman" w:hAnsi="Times New Roman" w:cs="Times New Roman"/>
        </w:rPr>
        <w:t xml:space="preserve">may have been extended) either party may elect to terminate the contract by notice to the other </w:t>
      </w:r>
      <w:r>
        <w:rPr>
          <w:rFonts w:ascii="Times New Roman" w:hAnsi="Times New Roman" w:cs="Times New Roman"/>
        </w:rPr>
        <w:tab/>
      </w:r>
      <w:r w:rsidRPr="00A358F2">
        <w:rPr>
          <w:rFonts w:ascii="Times New Roman" w:hAnsi="Times New Roman" w:cs="Times New Roman"/>
        </w:rPr>
        <w:t xml:space="preserve">provided that if a party causing a delay to the satisfaction of any of the conditions precedents as at </w:t>
      </w:r>
      <w:r>
        <w:rPr>
          <w:rFonts w:ascii="Times New Roman" w:hAnsi="Times New Roman" w:cs="Times New Roman"/>
        </w:rPr>
        <w:tab/>
      </w:r>
      <w:r w:rsidRPr="00A358F2">
        <w:rPr>
          <w:rFonts w:ascii="Times New Roman" w:hAnsi="Times New Roman" w:cs="Times New Roman"/>
        </w:rPr>
        <w:t xml:space="preserve">the date on which it seeks to terminate, such party shall not be entitled to exercise such right </w:t>
      </w:r>
      <w:r>
        <w:rPr>
          <w:rFonts w:ascii="Times New Roman" w:hAnsi="Times New Roman" w:cs="Times New Roman"/>
        </w:rPr>
        <w:tab/>
      </w:r>
      <w:r w:rsidRPr="00A358F2">
        <w:rPr>
          <w:rFonts w:ascii="Times New Roman" w:hAnsi="Times New Roman" w:cs="Times New Roman"/>
        </w:rPr>
        <w:t>of termination while such cause of delay subsists.”</w:t>
      </w:r>
    </w:p>
    <w:p w:rsidR="00BB4A80" w:rsidRPr="00A358F2" w:rsidRDefault="00BB4A80" w:rsidP="00BB4A80">
      <w:pPr>
        <w:spacing w:after="0" w:line="240" w:lineRule="auto"/>
        <w:jc w:val="both"/>
        <w:rPr>
          <w:rFonts w:ascii="Times New Roman" w:hAnsi="Times New Roman" w:cs="Times New Roman"/>
        </w:rPr>
      </w:pPr>
    </w:p>
    <w:p w:rsidR="00BB4A80" w:rsidRDefault="00BB4A80" w:rsidP="00BB4A8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the event of any such termination, then without prejudice to the parties rights, </w:t>
      </w:r>
      <w:r w:rsidR="00E54830">
        <w:rPr>
          <w:rFonts w:ascii="Times New Roman" w:hAnsi="Times New Roman" w:cs="Times New Roman"/>
          <w:sz w:val="24"/>
          <w:szCs w:val="24"/>
        </w:rPr>
        <w:t>obligations</w:t>
      </w:r>
      <w:r>
        <w:rPr>
          <w:rFonts w:ascii="Times New Roman" w:hAnsi="Times New Roman" w:cs="Times New Roman"/>
          <w:sz w:val="24"/>
          <w:szCs w:val="24"/>
        </w:rPr>
        <w:t xml:space="preserve"> and liabilities under and in respect of the provisions which came into force on the date of the execution (as provided for in the first sentence of this clause 5), neither party shall have any liabilities to the other arising under or in connection with such termination under or in connection with the contract (including this agreement). For the avoidance of doubt, the 24 months period would expire on 23 October, 2017. It is convenient at this stage to unpack or interrogate the quoted provision</w:t>
      </w:r>
      <w:r w:rsidR="00E54830">
        <w:rPr>
          <w:rFonts w:ascii="Times New Roman" w:hAnsi="Times New Roman" w:cs="Times New Roman"/>
          <w:sz w:val="24"/>
          <w:szCs w:val="24"/>
        </w:rPr>
        <w:t>s</w:t>
      </w:r>
      <w:r>
        <w:rPr>
          <w:rFonts w:ascii="Times New Roman" w:hAnsi="Times New Roman" w:cs="Times New Roman"/>
          <w:sz w:val="24"/>
          <w:szCs w:val="24"/>
        </w:rPr>
        <w:t xml:space="preserve"> of the contract agreement. When unpacked, the following summarises what the parties agreed on;</w:t>
      </w:r>
    </w:p>
    <w:p w:rsidR="00BB4A80" w:rsidRDefault="00BB4A80" w:rsidP="00BB4A80">
      <w:pPr>
        <w:pStyle w:val="ListParagraph"/>
        <w:numPr>
          <w:ilvl w:val="0"/>
          <w:numId w:val="2"/>
        </w:numPr>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That should all or any of the suspensive conditions be not satisfied within the satisfaction</w:t>
      </w:r>
      <w:r w:rsidR="00E54830">
        <w:rPr>
          <w:rFonts w:ascii="Times New Roman" w:hAnsi="Times New Roman" w:cs="Times New Roman"/>
          <w:sz w:val="24"/>
          <w:szCs w:val="24"/>
        </w:rPr>
        <w:t xml:space="preserve"> period</w:t>
      </w:r>
      <w:r>
        <w:rPr>
          <w:rFonts w:ascii="Times New Roman" w:hAnsi="Times New Roman" w:cs="Times New Roman"/>
          <w:sz w:val="24"/>
          <w:szCs w:val="24"/>
        </w:rPr>
        <w:t xml:space="preserve"> of 24 months after 23 October, 2015, the contract obliged the parties to meet and review progress made towards satisfying the suspensive conditions; and;</w:t>
      </w:r>
    </w:p>
    <w:p w:rsidR="00BB4A80" w:rsidRDefault="00BB4A80" w:rsidP="00BB4A80">
      <w:pPr>
        <w:pStyle w:val="ListParagraph"/>
        <w:numPr>
          <w:ilvl w:val="0"/>
          <w:numId w:val="2"/>
        </w:numPr>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The respondent had a discretion then or thereafter (that is, following on the review aforesaid) to extend the period for satisfying the conditions by a further 6 months. The extension would in such a case be given by notice to the applicant.</w:t>
      </w:r>
    </w:p>
    <w:p w:rsidR="00BB4A80" w:rsidRDefault="00BB4A80" w:rsidP="00BB4A80">
      <w:pPr>
        <w:pStyle w:val="ListParagraph"/>
        <w:numPr>
          <w:ilvl w:val="0"/>
          <w:numId w:val="2"/>
        </w:numPr>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That should the conditions precedent remain unsatisfied upon expiry of the 24 months aforesaid or any extension thereof of 6 months as may have been given by the respondent, the contract agreement would be susceptible or open to termination by either party. A party electing to terminate would have to give notice of termination to the other party. The election o</w:t>
      </w:r>
      <w:r w:rsidR="00E54830">
        <w:rPr>
          <w:rFonts w:ascii="Times New Roman" w:hAnsi="Times New Roman" w:cs="Times New Roman"/>
          <w:sz w:val="24"/>
          <w:szCs w:val="24"/>
        </w:rPr>
        <w:t>f</w:t>
      </w:r>
      <w:r>
        <w:rPr>
          <w:rFonts w:ascii="Times New Roman" w:hAnsi="Times New Roman" w:cs="Times New Roman"/>
          <w:sz w:val="24"/>
          <w:szCs w:val="24"/>
        </w:rPr>
        <w:t xml:space="preserve"> termination could not be exercised by a party which will have caused a delay in satisfying any of the conditions precedent as at the date that such party elects to exercise the option or right to terminate the contract agreement for as long as the cause of that delay subsisted. In other words before the party electing to terminate the agreement could properly do so in terms of the agreement, it had to have performed its own obligations in terms of the agreement </w:t>
      </w:r>
      <w:r>
        <w:rPr>
          <w:rFonts w:ascii="Times New Roman" w:hAnsi="Times New Roman" w:cs="Times New Roman"/>
          <w:sz w:val="24"/>
          <w:szCs w:val="24"/>
        </w:rPr>
        <w:lastRenderedPageBreak/>
        <w:t>and / or be not the cause of the failure, by either itself or the other party to satisfy any of the suspensive conditions.</w:t>
      </w:r>
    </w:p>
    <w:p w:rsidR="00BB4A80" w:rsidRDefault="00BB4A80" w:rsidP="00BB4A80">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Where the party intending to terminate is the cause of the delay, it would be required to purge the delay and thus place itself by so doing in good standing to properly exercise the option to terminate the agreement.</w:t>
      </w:r>
    </w:p>
    <w:p w:rsidR="00BB4A80" w:rsidRDefault="00BB4A80" w:rsidP="00BB4A80">
      <w:pPr>
        <w:pStyle w:val="ListParagraph"/>
        <w:spacing w:after="0" w:line="360" w:lineRule="auto"/>
        <w:ind w:left="0"/>
        <w:jc w:val="both"/>
        <w:rPr>
          <w:rFonts w:ascii="Times New Roman" w:hAnsi="Times New Roman" w:cs="Times New Roman"/>
          <w:sz w:val="24"/>
          <w:szCs w:val="24"/>
        </w:rPr>
      </w:pPr>
      <w:r w:rsidRPr="00520EB5">
        <w:rPr>
          <w:rFonts w:ascii="Times New Roman" w:hAnsi="Times New Roman" w:cs="Times New Roman"/>
          <w:sz w:val="24"/>
          <w:szCs w:val="24"/>
          <w:u w:val="single"/>
        </w:rPr>
        <w:t>Developments post execution of the contract</w:t>
      </w:r>
      <w:r>
        <w:rPr>
          <w:rFonts w:ascii="Times New Roman" w:hAnsi="Times New Roman" w:cs="Times New Roman"/>
          <w:sz w:val="24"/>
          <w:szCs w:val="24"/>
        </w:rPr>
        <w:t>:</w:t>
      </w:r>
    </w:p>
    <w:p w:rsidR="00BB4A80" w:rsidRDefault="00BB4A80" w:rsidP="00BB4A80">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An eye catching feature of the contract between the parties was that the applicant as contractor was e</w:t>
      </w:r>
      <w:r w:rsidR="00E54830">
        <w:rPr>
          <w:rFonts w:ascii="Times New Roman" w:hAnsi="Times New Roman" w:cs="Times New Roman"/>
          <w:sz w:val="24"/>
          <w:szCs w:val="24"/>
        </w:rPr>
        <w:t xml:space="preserve">ssentially </w:t>
      </w:r>
      <w:r>
        <w:rPr>
          <w:rFonts w:ascii="Times New Roman" w:hAnsi="Times New Roman" w:cs="Times New Roman"/>
          <w:sz w:val="24"/>
          <w:szCs w:val="24"/>
        </w:rPr>
        <w:t>required to source for and facilitate the founding of the project apart from bearing the majority of risks related to the construction of the power plant until it was commissioned. The respondent as employe</w:t>
      </w:r>
      <w:r w:rsidR="00E54830">
        <w:rPr>
          <w:rFonts w:ascii="Times New Roman" w:hAnsi="Times New Roman" w:cs="Times New Roman"/>
          <w:sz w:val="24"/>
          <w:szCs w:val="24"/>
        </w:rPr>
        <w:t>r</w:t>
      </w:r>
      <w:r>
        <w:rPr>
          <w:rFonts w:ascii="Times New Roman" w:hAnsi="Times New Roman" w:cs="Times New Roman"/>
          <w:sz w:val="24"/>
          <w:szCs w:val="24"/>
        </w:rPr>
        <w:t xml:space="preserve"> would upon the sourcing of funding by the applicant, then be the borrower of the sourced funds in its name, supervise the works and payments due or claimed by the applicant and only assume risk and liability upon the “successful commissioning” of the plant. The parties referred to the successful commissioning aforesaid as the “turn of the key”. Funding was one of the suspensive conditions and both parties had a role to play</w:t>
      </w:r>
      <w:r w:rsidR="00E54830">
        <w:rPr>
          <w:rFonts w:ascii="Times New Roman" w:hAnsi="Times New Roman" w:cs="Times New Roman"/>
          <w:sz w:val="24"/>
          <w:szCs w:val="24"/>
        </w:rPr>
        <w:t xml:space="preserve"> and interests to safeguard </w:t>
      </w:r>
      <w:r>
        <w:rPr>
          <w:rFonts w:ascii="Times New Roman" w:hAnsi="Times New Roman" w:cs="Times New Roman"/>
          <w:sz w:val="24"/>
          <w:szCs w:val="24"/>
        </w:rPr>
        <w:t xml:space="preserve"> in this regard as aforesaid.</w:t>
      </w:r>
    </w:p>
    <w:p w:rsidR="005705DE" w:rsidRDefault="00BB4A80" w:rsidP="005705D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It must be recorded as well that the suspensive conditions were open to waiver by the parties. Waiver was provided for in clause 5 of the principal clauses of the agreement. If a party waived any suspensive condition, then, the waived condition precedent or suspensive condition would be deemed to have </w:t>
      </w:r>
      <w:r w:rsidR="005705DE" w:rsidRPr="00C225E9">
        <w:rPr>
          <w:rFonts w:ascii="Times New Roman" w:hAnsi="Times New Roman" w:cs="Times New Roman"/>
          <w:sz w:val="24"/>
          <w:szCs w:val="24"/>
        </w:rPr>
        <w:t>been satisfied</w:t>
      </w:r>
      <w:r w:rsidR="005705DE">
        <w:rPr>
          <w:rFonts w:ascii="Times New Roman" w:hAnsi="Times New Roman" w:cs="Times New Roman"/>
          <w:sz w:val="24"/>
          <w:szCs w:val="24"/>
        </w:rPr>
        <w:t>.</w:t>
      </w:r>
      <w:r w:rsidR="00E54830">
        <w:rPr>
          <w:rFonts w:ascii="Times New Roman" w:hAnsi="Times New Roman" w:cs="Times New Roman"/>
          <w:sz w:val="24"/>
          <w:szCs w:val="24"/>
        </w:rPr>
        <w:t xml:space="preserve"> The </w:t>
      </w:r>
      <w:r w:rsidR="006A3624">
        <w:rPr>
          <w:rFonts w:ascii="Times New Roman" w:hAnsi="Times New Roman" w:cs="Times New Roman"/>
          <w:sz w:val="24"/>
          <w:szCs w:val="24"/>
        </w:rPr>
        <w:t>manner</w:t>
      </w:r>
      <w:r w:rsidR="00E54830">
        <w:rPr>
          <w:rFonts w:ascii="Times New Roman" w:hAnsi="Times New Roman" w:cs="Times New Roman"/>
          <w:sz w:val="24"/>
          <w:szCs w:val="24"/>
        </w:rPr>
        <w:t xml:space="preserve"> of exercising the waiver was not stated meaning that it could be express or tacit.</w:t>
      </w:r>
    </w:p>
    <w:p w:rsidR="005705DE" w:rsidRDefault="005705DE" w:rsidP="005705D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With the understanding of the flexibility of the agreement in regard to suspensive conditions and their being open to waiver, the parties executed an addendum to the contract agreement on 21 September 2017. The addendum is attached to the applicants founding affidavit as an extension or part of annexure D on p 174 of the record. The addendum explicitly provided that it did not affect or amend the provisions of the principal contract agreement, save to the extent provided for in the addendum. The addendum essentially had to do with</w:t>
      </w:r>
      <w:r w:rsidR="00E54830">
        <w:rPr>
          <w:rFonts w:ascii="Times New Roman" w:hAnsi="Times New Roman" w:cs="Times New Roman"/>
          <w:sz w:val="24"/>
          <w:szCs w:val="24"/>
        </w:rPr>
        <w:t xml:space="preserve"> completion of pre-commence</w:t>
      </w:r>
      <w:r w:rsidR="007E4BF5">
        <w:rPr>
          <w:rFonts w:ascii="Times New Roman" w:hAnsi="Times New Roman" w:cs="Times New Roman"/>
          <w:sz w:val="24"/>
          <w:szCs w:val="24"/>
        </w:rPr>
        <w:t>ment works and</w:t>
      </w:r>
      <w:r>
        <w:rPr>
          <w:rFonts w:ascii="Times New Roman" w:hAnsi="Times New Roman" w:cs="Times New Roman"/>
          <w:sz w:val="24"/>
          <w:szCs w:val="24"/>
        </w:rPr>
        <w:t xml:space="preserve"> payment of subcontractors employed by the applicant. It captured that parties had agreed that the applicant would undertake pre-commencement works at a total cost of USD$5 11 224-00 exclusive of tax and feasibility study costs. Of this amount, the applicant was to contribute USD$1000 000-00 and the respondent the balance. The applicant had </w:t>
      </w:r>
      <w:r>
        <w:rPr>
          <w:rFonts w:ascii="Times New Roman" w:hAnsi="Times New Roman" w:cs="Times New Roman"/>
          <w:sz w:val="24"/>
          <w:szCs w:val="24"/>
        </w:rPr>
        <w:lastRenderedPageBreak/>
        <w:t>however not mobilized the USD$1000 000-00</w:t>
      </w:r>
      <w:r w:rsidR="007E4BF5">
        <w:rPr>
          <w:rFonts w:ascii="Times New Roman" w:hAnsi="Times New Roman" w:cs="Times New Roman"/>
          <w:sz w:val="24"/>
          <w:szCs w:val="24"/>
        </w:rPr>
        <w:t xml:space="preserve"> at that time</w:t>
      </w:r>
      <w:r>
        <w:rPr>
          <w:rFonts w:ascii="Times New Roman" w:hAnsi="Times New Roman" w:cs="Times New Roman"/>
          <w:sz w:val="24"/>
          <w:szCs w:val="24"/>
        </w:rPr>
        <w:t>. The applicant had also not ye</w:t>
      </w:r>
      <w:r w:rsidR="007E4BF5">
        <w:rPr>
          <w:rFonts w:ascii="Times New Roman" w:hAnsi="Times New Roman" w:cs="Times New Roman"/>
          <w:sz w:val="24"/>
          <w:szCs w:val="24"/>
        </w:rPr>
        <w:t>t</w:t>
      </w:r>
      <w:r>
        <w:rPr>
          <w:rFonts w:ascii="Times New Roman" w:hAnsi="Times New Roman" w:cs="Times New Roman"/>
          <w:sz w:val="24"/>
          <w:szCs w:val="24"/>
        </w:rPr>
        <w:t xml:space="preserve"> provided an advance payments guarantee which it was agreed would be provided within 30 days of signature of the agreement. Such guarantee would secure payments made and future payments to be made. The breakdown of payments made to the applicant were itemized in the addendum and they added up to USD$5 624 607-60. The parties agreed that the sum of USD$1 232 322-87 was still due to be paid to the applicant for subcontractors for pre-commencement works. The scope of the works carried out or to be carried out by the subcontractors was tabled in the addendum and it was agreed that payments would be made directly to the subcontractors upon submission by the applicant of a Payment Release Certificate. It is common cause that</w:t>
      </w:r>
      <w:r w:rsidR="007E4BF5">
        <w:rPr>
          <w:rFonts w:ascii="Times New Roman" w:hAnsi="Times New Roman" w:cs="Times New Roman"/>
          <w:sz w:val="24"/>
          <w:szCs w:val="24"/>
        </w:rPr>
        <w:t xml:space="preserve"> an order for</w:t>
      </w:r>
      <w:r>
        <w:rPr>
          <w:rFonts w:ascii="Times New Roman" w:hAnsi="Times New Roman" w:cs="Times New Roman"/>
          <w:sz w:val="24"/>
          <w:szCs w:val="24"/>
        </w:rPr>
        <w:t xml:space="preserve"> payment to subcontractors was claimed by the applicant </w:t>
      </w:r>
      <w:r w:rsidR="007E4BF5">
        <w:rPr>
          <w:rFonts w:ascii="Times New Roman" w:hAnsi="Times New Roman" w:cs="Times New Roman"/>
          <w:sz w:val="24"/>
          <w:szCs w:val="24"/>
        </w:rPr>
        <w:t xml:space="preserve">in its </w:t>
      </w:r>
      <w:r>
        <w:rPr>
          <w:rFonts w:ascii="Times New Roman" w:hAnsi="Times New Roman" w:cs="Times New Roman"/>
          <w:sz w:val="24"/>
          <w:szCs w:val="24"/>
        </w:rPr>
        <w:t>p</w:t>
      </w:r>
      <w:r w:rsidR="007E4BF5">
        <w:rPr>
          <w:rFonts w:ascii="Times New Roman" w:hAnsi="Times New Roman" w:cs="Times New Roman"/>
          <w:sz w:val="24"/>
          <w:szCs w:val="24"/>
        </w:rPr>
        <w:t>apers</w:t>
      </w:r>
      <w:r>
        <w:rPr>
          <w:rFonts w:ascii="Times New Roman" w:hAnsi="Times New Roman" w:cs="Times New Roman"/>
          <w:sz w:val="24"/>
          <w:szCs w:val="24"/>
        </w:rPr>
        <w:t xml:space="preserve"> before it amended its draft order. For the purposes of this judgment</w:t>
      </w:r>
      <w:r w:rsidR="007E4BF5">
        <w:rPr>
          <w:rFonts w:ascii="Times New Roman" w:hAnsi="Times New Roman" w:cs="Times New Roman"/>
          <w:sz w:val="24"/>
          <w:szCs w:val="24"/>
        </w:rPr>
        <w:t>,</w:t>
      </w:r>
      <w:r>
        <w:rPr>
          <w:rFonts w:ascii="Times New Roman" w:hAnsi="Times New Roman" w:cs="Times New Roman"/>
          <w:sz w:val="24"/>
          <w:szCs w:val="24"/>
        </w:rPr>
        <w:t xml:space="preserve"> what is important to note is that, the addendum did not alter the provisions of the clauses in the main contract regarding termination of the agreement.</w:t>
      </w:r>
    </w:p>
    <w:p w:rsidR="005705DE" w:rsidRDefault="005705DE" w:rsidP="005705D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next significant development was that on 29 November, 2017, the respondent’s managing director wrote a letter (annexure E) to the applicant’s founding affidavit in the following wording:</w:t>
      </w:r>
    </w:p>
    <w:p w:rsidR="005705DE" w:rsidRDefault="005705DE" w:rsidP="005705DE">
      <w:pPr>
        <w:spacing w:after="0" w:line="240" w:lineRule="auto"/>
        <w:jc w:val="both"/>
        <w:rPr>
          <w:rFonts w:ascii="Times New Roman" w:hAnsi="Times New Roman" w:cs="Times New Roman"/>
        </w:rPr>
      </w:pPr>
      <w:r>
        <w:rPr>
          <w:rFonts w:ascii="Times New Roman" w:hAnsi="Times New Roman" w:cs="Times New Roman"/>
          <w:sz w:val="24"/>
          <w:szCs w:val="24"/>
        </w:rPr>
        <w:tab/>
        <w:t>“</w:t>
      </w:r>
      <w:r w:rsidRPr="00192B0C">
        <w:rPr>
          <w:rFonts w:ascii="Times New Roman" w:hAnsi="Times New Roman" w:cs="Times New Roman"/>
        </w:rPr>
        <w:t>GWAND SOLAR POWER PROJECT-CONTRACT PERIOD EXTENSION</w:t>
      </w:r>
    </w:p>
    <w:p w:rsidR="005705DE" w:rsidRPr="00192B0C" w:rsidRDefault="005705DE" w:rsidP="005705DE">
      <w:pPr>
        <w:spacing w:after="0" w:line="240" w:lineRule="auto"/>
        <w:jc w:val="both"/>
        <w:rPr>
          <w:rFonts w:ascii="Times New Roman" w:hAnsi="Times New Roman" w:cs="Times New Roman"/>
        </w:rPr>
      </w:pPr>
    </w:p>
    <w:p w:rsidR="005705DE" w:rsidRDefault="005705DE" w:rsidP="005705DE">
      <w:pPr>
        <w:spacing w:after="0" w:line="240" w:lineRule="auto"/>
        <w:jc w:val="both"/>
        <w:rPr>
          <w:rFonts w:ascii="Times New Roman" w:hAnsi="Times New Roman" w:cs="Times New Roman"/>
        </w:rPr>
      </w:pPr>
      <w:r w:rsidRPr="00192B0C">
        <w:rPr>
          <w:rFonts w:ascii="Times New Roman" w:hAnsi="Times New Roman" w:cs="Times New Roman"/>
        </w:rPr>
        <w:tab/>
        <w:t>The above subject matter refers.</w:t>
      </w:r>
    </w:p>
    <w:p w:rsidR="005705DE" w:rsidRPr="00192B0C" w:rsidRDefault="005705DE" w:rsidP="005705DE">
      <w:pPr>
        <w:spacing w:after="0" w:line="240" w:lineRule="auto"/>
        <w:jc w:val="both"/>
        <w:rPr>
          <w:rFonts w:ascii="Times New Roman" w:hAnsi="Times New Roman" w:cs="Times New Roman"/>
        </w:rPr>
      </w:pPr>
    </w:p>
    <w:p w:rsidR="005705DE" w:rsidRPr="00192B0C" w:rsidRDefault="005705DE" w:rsidP="005705DE">
      <w:pPr>
        <w:spacing w:after="0" w:line="240" w:lineRule="auto"/>
        <w:ind w:left="720"/>
        <w:jc w:val="both"/>
        <w:rPr>
          <w:rFonts w:ascii="Times New Roman" w:hAnsi="Times New Roman" w:cs="Times New Roman"/>
        </w:rPr>
      </w:pPr>
      <w:r w:rsidRPr="00192B0C">
        <w:rPr>
          <w:rFonts w:ascii="Times New Roman" w:hAnsi="Times New Roman" w:cs="Times New Roman"/>
        </w:rPr>
        <w:t>Clause 5 of the contract ZPC 304/2015 between ZPC and I</w:t>
      </w:r>
      <w:r>
        <w:rPr>
          <w:rFonts w:ascii="Times New Roman" w:hAnsi="Times New Roman" w:cs="Times New Roman"/>
        </w:rPr>
        <w:t>n</w:t>
      </w:r>
      <w:r w:rsidRPr="00192B0C">
        <w:rPr>
          <w:rFonts w:ascii="Times New Roman" w:hAnsi="Times New Roman" w:cs="Times New Roman"/>
        </w:rPr>
        <w:t>tratreck Zimbabwe (Private) Limited (with its Technical Partner CHINT Electric Co-</w:t>
      </w:r>
      <w:r w:rsidR="007E4BF5">
        <w:rPr>
          <w:rFonts w:ascii="Times New Roman" w:hAnsi="Times New Roman" w:cs="Times New Roman"/>
        </w:rPr>
        <w:t xml:space="preserve"> Ltd as contractor provides for the employer to </w:t>
      </w:r>
      <w:r w:rsidRPr="00192B0C">
        <w:rPr>
          <w:rFonts w:ascii="Times New Roman" w:hAnsi="Times New Roman" w:cs="Times New Roman"/>
        </w:rPr>
        <w:t xml:space="preserve"> extend the condition Precedent (CP) </w:t>
      </w:r>
      <w:r w:rsidR="007E4BF5">
        <w:rPr>
          <w:rFonts w:ascii="Times New Roman" w:hAnsi="Times New Roman" w:cs="Times New Roman"/>
        </w:rPr>
        <w:t>S</w:t>
      </w:r>
      <w:r w:rsidRPr="00192B0C">
        <w:rPr>
          <w:rFonts w:ascii="Times New Roman" w:hAnsi="Times New Roman" w:cs="Times New Roman"/>
        </w:rPr>
        <w:t xml:space="preserve">atisfaction Period by a further six (6) months in the event that the CP Satisfaction Period has </w:t>
      </w:r>
      <w:r>
        <w:rPr>
          <w:rFonts w:ascii="Times New Roman" w:hAnsi="Times New Roman" w:cs="Times New Roman"/>
        </w:rPr>
        <w:t>expired</w:t>
      </w:r>
      <w:r w:rsidRPr="00192B0C">
        <w:rPr>
          <w:rFonts w:ascii="Times New Roman" w:hAnsi="Times New Roman" w:cs="Times New Roman"/>
        </w:rPr>
        <w:t xml:space="preserve"> (24) months after the date of signature of the cont</w:t>
      </w:r>
      <w:r w:rsidR="007E4BF5">
        <w:rPr>
          <w:rFonts w:ascii="Times New Roman" w:hAnsi="Times New Roman" w:cs="Times New Roman"/>
        </w:rPr>
        <w:t>r</w:t>
      </w:r>
      <w:r w:rsidRPr="00192B0C">
        <w:rPr>
          <w:rFonts w:ascii="Times New Roman" w:hAnsi="Times New Roman" w:cs="Times New Roman"/>
        </w:rPr>
        <w:t>act. We therefore notify you of the extension of the CP Satisfaction Period by six (6) months from 23 October, 2017 to 23 April, 2018 as per contract agreement.</w:t>
      </w:r>
    </w:p>
    <w:p w:rsidR="005705DE" w:rsidRPr="00192B0C" w:rsidRDefault="005705DE" w:rsidP="007E4BF5">
      <w:pPr>
        <w:spacing w:after="0" w:line="240" w:lineRule="auto"/>
        <w:ind w:left="720"/>
        <w:jc w:val="both"/>
        <w:rPr>
          <w:rFonts w:ascii="Times New Roman" w:hAnsi="Times New Roman" w:cs="Times New Roman"/>
        </w:rPr>
      </w:pPr>
      <w:r w:rsidRPr="00192B0C">
        <w:rPr>
          <w:rFonts w:ascii="Times New Roman" w:hAnsi="Times New Roman" w:cs="Times New Roman"/>
        </w:rPr>
        <w:t xml:space="preserve">Looking forward to the conclusion of pre-commencement works and all conditions precedent.”            </w:t>
      </w:r>
    </w:p>
    <w:p w:rsidR="00BB4A80" w:rsidRDefault="00BB4A80" w:rsidP="007E4BF5">
      <w:pPr>
        <w:pStyle w:val="ListParagraph"/>
        <w:spacing w:after="0" w:line="360" w:lineRule="auto"/>
        <w:ind w:left="0"/>
        <w:jc w:val="both"/>
        <w:rPr>
          <w:rFonts w:ascii="Times New Roman" w:hAnsi="Times New Roman" w:cs="Times New Roman"/>
          <w:sz w:val="24"/>
          <w:szCs w:val="24"/>
        </w:rPr>
      </w:pPr>
    </w:p>
    <w:p w:rsidR="005705DE" w:rsidRDefault="005705DE" w:rsidP="007E4BF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There is of course no evidence on the papers nor does the letter aforesaid indicate that there was a meeting to review progress towards satisfaction of the suspensive conditions before the respondent </w:t>
      </w:r>
      <w:r w:rsidR="007E4BF5">
        <w:rPr>
          <w:rFonts w:ascii="Times New Roman" w:hAnsi="Times New Roman" w:cs="Times New Roman"/>
          <w:sz w:val="24"/>
          <w:szCs w:val="24"/>
        </w:rPr>
        <w:t xml:space="preserve">elected </w:t>
      </w:r>
      <w:r>
        <w:rPr>
          <w:rFonts w:ascii="Times New Roman" w:hAnsi="Times New Roman" w:cs="Times New Roman"/>
          <w:sz w:val="24"/>
          <w:szCs w:val="24"/>
        </w:rPr>
        <w:t xml:space="preserve"> to extend the contract period by 6 months.</w:t>
      </w:r>
    </w:p>
    <w:p w:rsidR="005705DE" w:rsidRDefault="005705DE" w:rsidP="005705D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If one considers that the applicant was permitted to carry out pre-commencement works as per schedule 11 to the contract agreement before satisfaction of the suspensive conditions, the essence of suspensive conditions being satisfied before the contract agreement could commence</w:t>
      </w:r>
      <w:r w:rsidR="007E4BF5">
        <w:rPr>
          <w:rFonts w:ascii="Times New Roman" w:hAnsi="Times New Roman" w:cs="Times New Roman"/>
          <w:sz w:val="24"/>
          <w:szCs w:val="24"/>
        </w:rPr>
        <w:t xml:space="preserve"> arguably</w:t>
      </w:r>
      <w:r>
        <w:rPr>
          <w:rFonts w:ascii="Times New Roman" w:hAnsi="Times New Roman" w:cs="Times New Roman"/>
          <w:sz w:val="24"/>
          <w:szCs w:val="24"/>
        </w:rPr>
        <w:t xml:space="preserve"> fell away or were waived</w:t>
      </w:r>
      <w:r w:rsidR="007E4BF5">
        <w:rPr>
          <w:rFonts w:ascii="Times New Roman" w:hAnsi="Times New Roman" w:cs="Times New Roman"/>
          <w:sz w:val="24"/>
          <w:szCs w:val="24"/>
        </w:rPr>
        <w:t xml:space="preserve"> and</w:t>
      </w:r>
      <w:r>
        <w:rPr>
          <w:rFonts w:ascii="Times New Roman" w:hAnsi="Times New Roman" w:cs="Times New Roman"/>
          <w:sz w:val="24"/>
          <w:szCs w:val="24"/>
        </w:rPr>
        <w:t xml:space="preserve"> if not explicitly</w:t>
      </w:r>
      <w:r w:rsidR="007E4BF5">
        <w:rPr>
          <w:rFonts w:ascii="Times New Roman" w:hAnsi="Times New Roman" w:cs="Times New Roman"/>
          <w:sz w:val="24"/>
          <w:szCs w:val="24"/>
        </w:rPr>
        <w:t>,</w:t>
      </w:r>
      <w:r>
        <w:rPr>
          <w:rFonts w:ascii="Times New Roman" w:hAnsi="Times New Roman" w:cs="Times New Roman"/>
          <w:sz w:val="24"/>
          <w:szCs w:val="24"/>
        </w:rPr>
        <w:t xml:space="preserve"> then by implication or conduct. The </w:t>
      </w:r>
      <w:r>
        <w:rPr>
          <w:rFonts w:ascii="Times New Roman" w:hAnsi="Times New Roman" w:cs="Times New Roman"/>
          <w:sz w:val="24"/>
          <w:szCs w:val="24"/>
        </w:rPr>
        <w:lastRenderedPageBreak/>
        <w:t>essence of placing conditions precede</w:t>
      </w:r>
      <w:r w:rsidR="007E4BF5">
        <w:rPr>
          <w:rFonts w:ascii="Times New Roman" w:hAnsi="Times New Roman" w:cs="Times New Roman"/>
          <w:sz w:val="24"/>
          <w:szCs w:val="24"/>
        </w:rPr>
        <w:t>nt</w:t>
      </w:r>
      <w:r>
        <w:rPr>
          <w:rFonts w:ascii="Times New Roman" w:hAnsi="Times New Roman" w:cs="Times New Roman"/>
          <w:sz w:val="24"/>
          <w:szCs w:val="24"/>
        </w:rPr>
        <w:t xml:space="preserve"> was intended to stay commencement of works. The pre-commencement works were however part paid for as evidenced by the addendum to the agreement and a balance was agreed to be owing to subcontractors in a determined amount of USD$1 232 322.87.  The suspensive conditions would appear to have lost releva</w:t>
      </w:r>
      <w:r w:rsidR="007E4BF5">
        <w:rPr>
          <w:rFonts w:ascii="Times New Roman" w:hAnsi="Times New Roman" w:cs="Times New Roman"/>
          <w:sz w:val="24"/>
          <w:szCs w:val="24"/>
        </w:rPr>
        <w:t>nce</w:t>
      </w:r>
      <w:r>
        <w:rPr>
          <w:rFonts w:ascii="Times New Roman" w:hAnsi="Times New Roman" w:cs="Times New Roman"/>
          <w:sz w:val="24"/>
          <w:szCs w:val="24"/>
        </w:rPr>
        <w:t xml:space="preserve"> once the applicant performed pre-commencement works. In this regard, the argument advanced by Mr </w:t>
      </w:r>
      <w:r>
        <w:rPr>
          <w:rFonts w:ascii="Times New Roman" w:hAnsi="Times New Roman" w:cs="Times New Roman"/>
          <w:i/>
          <w:sz w:val="24"/>
          <w:szCs w:val="24"/>
        </w:rPr>
        <w:t xml:space="preserve">Manjengwa </w:t>
      </w:r>
      <w:r>
        <w:rPr>
          <w:rFonts w:ascii="Times New Roman" w:hAnsi="Times New Roman" w:cs="Times New Roman"/>
          <w:sz w:val="24"/>
          <w:szCs w:val="24"/>
        </w:rPr>
        <w:t>that until the suspensive conditions had been satisfied, there was no contract commencement is not supported on the evidence and law.</w:t>
      </w:r>
    </w:p>
    <w:p w:rsidR="005705DE" w:rsidRDefault="005705DE" w:rsidP="005705D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Reverting to the respondent’s better purporting to extend the 24 month period for satisfaction</w:t>
      </w:r>
      <w:r w:rsidR="007E4BF5">
        <w:rPr>
          <w:rFonts w:ascii="Times New Roman" w:hAnsi="Times New Roman" w:cs="Times New Roman"/>
          <w:sz w:val="24"/>
          <w:szCs w:val="24"/>
        </w:rPr>
        <w:t xml:space="preserve"> for the</w:t>
      </w:r>
      <w:r>
        <w:rPr>
          <w:rFonts w:ascii="Times New Roman" w:hAnsi="Times New Roman" w:cs="Times New Roman"/>
          <w:sz w:val="24"/>
          <w:szCs w:val="24"/>
        </w:rPr>
        <w:t xml:space="preserve"> satisfaction of the suspensive conditons by 6 months, the situation is a bit complex. The addendum actually extended the contract satisfaction period because the parties executed it mutually and its effect was to extend the period by which pre-commencement works were to have been completed beyond 23 October 2017. For example fencing had to be completed within 50 working days reckoned from 21 September 2017 when the last party signed the addendum. If </w:t>
      </w:r>
      <w:r w:rsidR="007E4BF5">
        <w:rPr>
          <w:rFonts w:ascii="Times New Roman" w:hAnsi="Times New Roman" w:cs="Times New Roman"/>
          <w:sz w:val="24"/>
          <w:szCs w:val="24"/>
        </w:rPr>
        <w:t>the court</w:t>
      </w:r>
      <w:r>
        <w:rPr>
          <w:rFonts w:ascii="Times New Roman" w:hAnsi="Times New Roman" w:cs="Times New Roman"/>
          <w:sz w:val="24"/>
          <w:szCs w:val="24"/>
        </w:rPr>
        <w:t xml:space="preserve"> were to validate the extension of 6 months, </w:t>
      </w:r>
      <w:r w:rsidR="007E4BF5">
        <w:rPr>
          <w:rFonts w:ascii="Times New Roman" w:hAnsi="Times New Roman" w:cs="Times New Roman"/>
          <w:sz w:val="24"/>
          <w:szCs w:val="24"/>
        </w:rPr>
        <w:t>the extension</w:t>
      </w:r>
      <w:r>
        <w:rPr>
          <w:rFonts w:ascii="Times New Roman" w:hAnsi="Times New Roman" w:cs="Times New Roman"/>
          <w:sz w:val="24"/>
          <w:szCs w:val="24"/>
        </w:rPr>
        <w:t xml:space="preserve"> would then render the whole process irreconcilable because the addendum itself was an extension</w:t>
      </w:r>
      <w:r w:rsidR="007E4BF5">
        <w:rPr>
          <w:rFonts w:ascii="Times New Roman" w:hAnsi="Times New Roman" w:cs="Times New Roman"/>
          <w:sz w:val="24"/>
          <w:szCs w:val="24"/>
        </w:rPr>
        <w:t xml:space="preserve"> of the 24 month period even though it did not expressly state so</w:t>
      </w:r>
      <w:r>
        <w:rPr>
          <w:rFonts w:ascii="Times New Roman" w:hAnsi="Times New Roman" w:cs="Times New Roman"/>
          <w:sz w:val="24"/>
          <w:szCs w:val="24"/>
        </w:rPr>
        <w:t xml:space="preserve">. It therefore cannot be held that the letter of extension written after the expiry of the suspensive conditions satisfaction period and further after the execution of the addendum </w:t>
      </w:r>
      <w:r w:rsidR="007E4BF5">
        <w:rPr>
          <w:rFonts w:ascii="Times New Roman" w:hAnsi="Times New Roman" w:cs="Times New Roman"/>
          <w:sz w:val="24"/>
          <w:szCs w:val="24"/>
        </w:rPr>
        <w:t xml:space="preserve">which gave an extension </w:t>
      </w:r>
      <w:r>
        <w:rPr>
          <w:rFonts w:ascii="Times New Roman" w:hAnsi="Times New Roman" w:cs="Times New Roman"/>
          <w:sz w:val="24"/>
          <w:szCs w:val="24"/>
        </w:rPr>
        <w:t>was valid or of any legal force.</w:t>
      </w:r>
    </w:p>
    <w:p w:rsidR="005705DE" w:rsidRDefault="005705DE" w:rsidP="005705D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 reading of the respondent’s opposing affidavit in para 16 shows that the respondent speaks to </w:t>
      </w:r>
      <w:r w:rsidR="00950062">
        <w:rPr>
          <w:rFonts w:ascii="Times New Roman" w:hAnsi="Times New Roman" w:cs="Times New Roman"/>
          <w:sz w:val="24"/>
          <w:szCs w:val="24"/>
        </w:rPr>
        <w:t xml:space="preserve">the addendum as </w:t>
      </w:r>
      <w:r>
        <w:rPr>
          <w:rFonts w:ascii="Times New Roman" w:hAnsi="Times New Roman" w:cs="Times New Roman"/>
          <w:sz w:val="24"/>
          <w:szCs w:val="24"/>
        </w:rPr>
        <w:t>a separate contract for pre-commencement works which it says is the only one which creates enforceable obligations. The argument is legally and factually untenable because para 2 of the addendum clearly states that the addendum was an amendment to the main contract which remained in full force and effect. It is for this reason then that by amending the original contract to allow for commencement of works covered in the main contract prior to the satisfaction of the suspension conditions, there was a tacit waiver of the commencement date of the contract not being subject to the satisfaction of all suspensive conditions. The commencement date of the contract being subject to satisfaction of suspensive conditions and for it to make commercial sense was clearly compromised by the parties engaging in the works with outstanding obligations still to be met</w:t>
      </w:r>
      <w:r w:rsidR="00950062">
        <w:rPr>
          <w:rFonts w:ascii="Times New Roman" w:hAnsi="Times New Roman" w:cs="Times New Roman"/>
          <w:sz w:val="24"/>
          <w:szCs w:val="24"/>
        </w:rPr>
        <w:t>.</w:t>
      </w:r>
      <w:r>
        <w:rPr>
          <w:rFonts w:ascii="Times New Roman" w:hAnsi="Times New Roman" w:cs="Times New Roman"/>
          <w:sz w:val="24"/>
          <w:szCs w:val="24"/>
        </w:rPr>
        <w:t xml:space="preserve"> </w:t>
      </w:r>
      <w:r w:rsidR="00950062">
        <w:rPr>
          <w:rFonts w:ascii="Times New Roman" w:hAnsi="Times New Roman" w:cs="Times New Roman"/>
          <w:sz w:val="24"/>
          <w:szCs w:val="24"/>
        </w:rPr>
        <w:t>I</w:t>
      </w:r>
      <w:r>
        <w:rPr>
          <w:rFonts w:ascii="Times New Roman" w:hAnsi="Times New Roman" w:cs="Times New Roman"/>
          <w:sz w:val="24"/>
          <w:szCs w:val="24"/>
        </w:rPr>
        <w:t xml:space="preserve">t is pertinent to note that clause 6 of the main contract is clear that the agreement may only be amended by a written document duly executed by both </w:t>
      </w:r>
      <w:r>
        <w:rPr>
          <w:rFonts w:ascii="Times New Roman" w:hAnsi="Times New Roman" w:cs="Times New Roman"/>
          <w:sz w:val="24"/>
          <w:szCs w:val="24"/>
        </w:rPr>
        <w:lastRenderedPageBreak/>
        <w:t>parties. This is what happened in relation to the addendum. It was executed by both parties. The extension of 6 months envisaged in clause 5 would amount to an amendment of the contract and albeit the discretion to extend being that of the respondent, such discretion could only be exercised subject to other conditions having been satisfied. The conditions would have included</w:t>
      </w:r>
      <w:r w:rsidR="00950062">
        <w:rPr>
          <w:rFonts w:ascii="Times New Roman" w:hAnsi="Times New Roman" w:cs="Times New Roman"/>
          <w:sz w:val="24"/>
          <w:szCs w:val="24"/>
        </w:rPr>
        <w:t xml:space="preserve"> the convening of </w:t>
      </w:r>
      <w:r>
        <w:rPr>
          <w:rFonts w:ascii="Times New Roman" w:hAnsi="Times New Roman" w:cs="Times New Roman"/>
          <w:sz w:val="24"/>
          <w:szCs w:val="24"/>
        </w:rPr>
        <w:t>a meeting of the parties to review progress. Again</w:t>
      </w:r>
      <w:r w:rsidR="00950062">
        <w:rPr>
          <w:rFonts w:ascii="Times New Roman" w:hAnsi="Times New Roman" w:cs="Times New Roman"/>
          <w:sz w:val="24"/>
          <w:szCs w:val="24"/>
        </w:rPr>
        <w:t>,</w:t>
      </w:r>
      <w:r>
        <w:rPr>
          <w:rFonts w:ascii="Times New Roman" w:hAnsi="Times New Roman" w:cs="Times New Roman"/>
          <w:sz w:val="24"/>
          <w:szCs w:val="24"/>
        </w:rPr>
        <w:t xml:space="preserve"> this makes sound </w:t>
      </w:r>
      <w:r w:rsidR="00950062">
        <w:rPr>
          <w:rFonts w:ascii="Times New Roman" w:hAnsi="Times New Roman" w:cs="Times New Roman"/>
          <w:sz w:val="24"/>
          <w:szCs w:val="24"/>
        </w:rPr>
        <w:t>commercial practice</w:t>
      </w:r>
      <w:r>
        <w:rPr>
          <w:rFonts w:ascii="Times New Roman" w:hAnsi="Times New Roman" w:cs="Times New Roman"/>
          <w:sz w:val="24"/>
          <w:szCs w:val="24"/>
        </w:rPr>
        <w:t>. The grant of a discretionary extension for the performance of an obligation must be informed by objective facts. The concerned parties would of necessity discuss the impediments to performance, review progress made and assess the value or justification for the extension before giving it.</w:t>
      </w:r>
      <w:r w:rsidR="00950062">
        <w:rPr>
          <w:rFonts w:ascii="Times New Roman" w:hAnsi="Times New Roman" w:cs="Times New Roman"/>
          <w:sz w:val="24"/>
          <w:szCs w:val="24"/>
        </w:rPr>
        <w:t xml:space="preserve"> The requirement that parties convene a meeting first to review progress accords with good business practice.</w:t>
      </w:r>
    </w:p>
    <w:p w:rsidR="005705DE" w:rsidRDefault="005705DE" w:rsidP="005705D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its opposing affidavit, the respondent i</w:t>
      </w:r>
      <w:r w:rsidR="00950062">
        <w:rPr>
          <w:rFonts w:ascii="Times New Roman" w:hAnsi="Times New Roman" w:cs="Times New Roman"/>
          <w:sz w:val="24"/>
          <w:szCs w:val="24"/>
        </w:rPr>
        <w:t>n</w:t>
      </w:r>
      <w:r>
        <w:rPr>
          <w:rFonts w:ascii="Times New Roman" w:hAnsi="Times New Roman" w:cs="Times New Roman"/>
          <w:sz w:val="24"/>
          <w:szCs w:val="24"/>
        </w:rPr>
        <w:t xml:space="preserve"> paragraph 28</w:t>
      </w:r>
      <w:r w:rsidR="00950062">
        <w:rPr>
          <w:rFonts w:ascii="Times New Roman" w:hAnsi="Times New Roman" w:cs="Times New Roman"/>
          <w:sz w:val="24"/>
          <w:szCs w:val="24"/>
        </w:rPr>
        <w:t>,</w:t>
      </w:r>
      <w:r>
        <w:rPr>
          <w:rFonts w:ascii="Times New Roman" w:hAnsi="Times New Roman" w:cs="Times New Roman"/>
          <w:sz w:val="24"/>
          <w:szCs w:val="24"/>
        </w:rPr>
        <w:t xml:space="preserve"> admitted that the extension was made by letter written after the expiry of the suspensive conditions satisfaction period. It argues that the applicant did not prote</w:t>
      </w:r>
      <w:r w:rsidR="00950062">
        <w:rPr>
          <w:rFonts w:ascii="Times New Roman" w:hAnsi="Times New Roman" w:cs="Times New Roman"/>
          <w:sz w:val="24"/>
          <w:szCs w:val="24"/>
        </w:rPr>
        <w:t>s</w:t>
      </w:r>
      <w:r>
        <w:rPr>
          <w:rFonts w:ascii="Times New Roman" w:hAnsi="Times New Roman" w:cs="Times New Roman"/>
          <w:sz w:val="24"/>
          <w:szCs w:val="24"/>
        </w:rPr>
        <w:t xml:space="preserve">t the extension but “proceeded to utilize the period in their attempt to satisfy and fulfil the outstanding suspensive conditions.” In the alternative, the respondent deposed that if the extension letter is invalid as a unilateral act, then, the contract must be held to have ceased to exist after 23 October, 2017, being the date of the expiry of the 24 months. It is trite law that an invalid act does not create rights or obligations. If the extension letter was invalid as it clearly was, then there could not have been any obligation on the part of the applicant to protest the letter or </w:t>
      </w:r>
      <w:r w:rsidR="00950062">
        <w:rPr>
          <w:rFonts w:ascii="Times New Roman" w:hAnsi="Times New Roman" w:cs="Times New Roman"/>
          <w:sz w:val="24"/>
          <w:szCs w:val="24"/>
        </w:rPr>
        <w:t xml:space="preserve">its </w:t>
      </w:r>
      <w:r>
        <w:rPr>
          <w:rFonts w:ascii="Times New Roman" w:hAnsi="Times New Roman" w:cs="Times New Roman"/>
          <w:sz w:val="24"/>
          <w:szCs w:val="24"/>
        </w:rPr>
        <w:t xml:space="preserve">invalidity. The alternative argument is equally legally untenable because the contract between the parties was not intended to lapse by effluxion of time. It explicitly provided for the manner of its termination which was on notice. </w:t>
      </w:r>
      <w:r w:rsidR="00950062">
        <w:rPr>
          <w:rFonts w:ascii="Times New Roman" w:hAnsi="Times New Roman" w:cs="Times New Roman"/>
          <w:sz w:val="24"/>
          <w:szCs w:val="24"/>
        </w:rPr>
        <w:t>T</w:t>
      </w:r>
      <w:r>
        <w:rPr>
          <w:rFonts w:ascii="Times New Roman" w:hAnsi="Times New Roman" w:cs="Times New Roman"/>
          <w:sz w:val="24"/>
          <w:szCs w:val="24"/>
        </w:rPr>
        <w:t>he failure to terminate as per contract</w:t>
      </w:r>
      <w:r w:rsidR="00950062">
        <w:rPr>
          <w:rFonts w:ascii="Times New Roman" w:hAnsi="Times New Roman" w:cs="Times New Roman"/>
          <w:sz w:val="24"/>
          <w:szCs w:val="24"/>
        </w:rPr>
        <w:t xml:space="preserve"> considered together with </w:t>
      </w:r>
      <w:r>
        <w:rPr>
          <w:rFonts w:ascii="Times New Roman" w:hAnsi="Times New Roman" w:cs="Times New Roman"/>
          <w:sz w:val="24"/>
          <w:szCs w:val="24"/>
        </w:rPr>
        <w:t xml:space="preserve">the execution of the addendum cannot escape the conclusion that there was a tacit waiver of the right to terminate for non satisfaction of suspensive conditions. This also brings to </w:t>
      </w:r>
      <w:r w:rsidR="006A3624">
        <w:rPr>
          <w:rFonts w:ascii="Times New Roman" w:hAnsi="Times New Roman" w:cs="Times New Roman"/>
          <w:sz w:val="24"/>
          <w:szCs w:val="24"/>
        </w:rPr>
        <w:t xml:space="preserve">the </w:t>
      </w:r>
      <w:r>
        <w:rPr>
          <w:rFonts w:ascii="Times New Roman" w:hAnsi="Times New Roman" w:cs="Times New Roman"/>
          <w:sz w:val="24"/>
          <w:szCs w:val="24"/>
        </w:rPr>
        <w:t>fore the purport of the respondents’ purported</w:t>
      </w:r>
      <w:r w:rsidR="00950062">
        <w:rPr>
          <w:rFonts w:ascii="Times New Roman" w:hAnsi="Times New Roman" w:cs="Times New Roman"/>
          <w:sz w:val="24"/>
          <w:szCs w:val="24"/>
        </w:rPr>
        <w:t xml:space="preserve"> contract</w:t>
      </w:r>
      <w:r>
        <w:rPr>
          <w:rFonts w:ascii="Times New Roman" w:hAnsi="Times New Roman" w:cs="Times New Roman"/>
          <w:sz w:val="24"/>
          <w:szCs w:val="24"/>
        </w:rPr>
        <w:t xml:space="preserve"> termination</w:t>
      </w:r>
      <w:r w:rsidR="00950062">
        <w:rPr>
          <w:rFonts w:ascii="Times New Roman" w:hAnsi="Times New Roman" w:cs="Times New Roman"/>
          <w:sz w:val="24"/>
          <w:szCs w:val="24"/>
        </w:rPr>
        <w:t xml:space="preserve"> letters dated 10 April, 2018; 6 July, 2018 and 31 July, 2018</w:t>
      </w:r>
      <w:r>
        <w:rPr>
          <w:rFonts w:ascii="Times New Roman" w:hAnsi="Times New Roman" w:cs="Times New Roman"/>
          <w:sz w:val="24"/>
          <w:szCs w:val="24"/>
        </w:rPr>
        <w:t xml:space="preserve">. The </w:t>
      </w:r>
      <w:r w:rsidR="00950062">
        <w:rPr>
          <w:rFonts w:ascii="Times New Roman" w:hAnsi="Times New Roman" w:cs="Times New Roman"/>
          <w:sz w:val="24"/>
          <w:szCs w:val="24"/>
        </w:rPr>
        <w:t xml:space="preserve">purported termination protested against by the applicant </w:t>
      </w:r>
      <w:r>
        <w:rPr>
          <w:rFonts w:ascii="Times New Roman" w:hAnsi="Times New Roman" w:cs="Times New Roman"/>
          <w:sz w:val="24"/>
          <w:szCs w:val="24"/>
        </w:rPr>
        <w:t>was not done consistently with the provisions of the contract as already discussed.</w:t>
      </w:r>
    </w:p>
    <w:p w:rsidR="00531D9A" w:rsidRPr="002C348E" w:rsidRDefault="005705DE" w:rsidP="00531D9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Following on the tacit waiver as demonstrated by the parties agreeing and the respondent allowing the applicant to commence work and paying for it and entering into an amendment to the main agreement whose effect was that the contract commenced before the fulfilment of </w:t>
      </w:r>
      <w:r>
        <w:rPr>
          <w:rFonts w:ascii="Times New Roman" w:hAnsi="Times New Roman" w:cs="Times New Roman"/>
          <w:sz w:val="24"/>
          <w:szCs w:val="24"/>
        </w:rPr>
        <w:lastRenderedPageBreak/>
        <w:t xml:space="preserve">suspensive conditions, the conditions must be adjudged to have been waived. In a waiver, it must be shown that the respondent with full knowledge of its right decided to abandon it whether expressly or by conduct. See Laws v Rutherford 1924 AD 261. See also </w:t>
      </w:r>
      <w:r>
        <w:rPr>
          <w:rFonts w:ascii="Times New Roman" w:hAnsi="Times New Roman" w:cs="Times New Roman"/>
          <w:i/>
          <w:sz w:val="24"/>
          <w:szCs w:val="24"/>
        </w:rPr>
        <w:t>Jake</w:t>
      </w:r>
      <w:r>
        <w:rPr>
          <w:rFonts w:ascii="Times New Roman" w:hAnsi="Times New Roman" w:cs="Times New Roman"/>
          <w:sz w:val="24"/>
          <w:szCs w:val="24"/>
        </w:rPr>
        <w:t xml:space="preserve"> v </w:t>
      </w:r>
      <w:r>
        <w:rPr>
          <w:rFonts w:ascii="Times New Roman" w:hAnsi="Times New Roman" w:cs="Times New Roman"/>
          <w:i/>
          <w:sz w:val="24"/>
          <w:szCs w:val="24"/>
        </w:rPr>
        <w:t>Zimbe</w:t>
      </w:r>
      <w:r>
        <w:rPr>
          <w:rFonts w:ascii="Times New Roman" w:hAnsi="Times New Roman" w:cs="Times New Roman"/>
          <w:sz w:val="24"/>
          <w:szCs w:val="24"/>
        </w:rPr>
        <w:t xml:space="preserve"> HH 237/18; </w:t>
      </w:r>
      <w:r>
        <w:rPr>
          <w:rFonts w:ascii="Times New Roman" w:hAnsi="Times New Roman" w:cs="Times New Roman"/>
          <w:i/>
          <w:sz w:val="24"/>
          <w:szCs w:val="24"/>
        </w:rPr>
        <w:t>Agricultural Bank of Zimbabwe Ltd t/a Agribank</w:t>
      </w:r>
      <w:r>
        <w:rPr>
          <w:rFonts w:ascii="Times New Roman" w:hAnsi="Times New Roman" w:cs="Times New Roman"/>
          <w:sz w:val="24"/>
          <w:szCs w:val="24"/>
        </w:rPr>
        <w:t xml:space="preserve"> v </w:t>
      </w:r>
      <w:r>
        <w:rPr>
          <w:rFonts w:ascii="Times New Roman" w:hAnsi="Times New Roman" w:cs="Times New Roman"/>
          <w:i/>
          <w:sz w:val="24"/>
          <w:szCs w:val="24"/>
        </w:rPr>
        <w:t xml:space="preserve">Machingauta </w:t>
      </w:r>
      <w:r>
        <w:rPr>
          <w:rFonts w:ascii="Times New Roman" w:hAnsi="Times New Roman" w:cs="Times New Roman"/>
          <w:sz w:val="24"/>
          <w:szCs w:val="24"/>
        </w:rPr>
        <w:t xml:space="preserve">SC 61/07. Following on the waiver, the respondent cannot successfully claim that the contract was properly terminated. The contract must be held to be still </w:t>
      </w:r>
      <w:r w:rsidR="00950062">
        <w:rPr>
          <w:rFonts w:ascii="Times New Roman" w:hAnsi="Times New Roman" w:cs="Times New Roman"/>
          <w:sz w:val="24"/>
          <w:szCs w:val="24"/>
        </w:rPr>
        <w:t>extent</w:t>
      </w:r>
      <w:r>
        <w:rPr>
          <w:rFonts w:ascii="Times New Roman" w:hAnsi="Times New Roman" w:cs="Times New Roman"/>
          <w:sz w:val="24"/>
          <w:szCs w:val="24"/>
        </w:rPr>
        <w:t xml:space="preserve"> and </w:t>
      </w:r>
      <w:r w:rsidR="00950062">
        <w:rPr>
          <w:rFonts w:ascii="Times New Roman" w:hAnsi="Times New Roman" w:cs="Times New Roman"/>
          <w:sz w:val="24"/>
          <w:szCs w:val="24"/>
        </w:rPr>
        <w:t>susciptible</w:t>
      </w:r>
      <w:r>
        <w:rPr>
          <w:rFonts w:ascii="Times New Roman" w:hAnsi="Times New Roman" w:cs="Times New Roman"/>
          <w:sz w:val="24"/>
          <w:szCs w:val="24"/>
        </w:rPr>
        <w:t xml:space="preserve"> to amendment regarding satisfaction of any conditions as the parties may mutually agree or if either party desires termination, then it must do so strictly in </w:t>
      </w:r>
      <w:r w:rsidR="00531D9A">
        <w:t>a</w:t>
      </w:r>
      <w:r w:rsidR="00531D9A" w:rsidRPr="002C348E">
        <w:rPr>
          <w:rFonts w:ascii="Times New Roman" w:hAnsi="Times New Roman" w:cs="Times New Roman"/>
          <w:sz w:val="24"/>
          <w:szCs w:val="24"/>
        </w:rPr>
        <w:t>ccordance with its terms.</w:t>
      </w:r>
    </w:p>
    <w:p w:rsidR="00531D9A" w:rsidRPr="002C348E" w:rsidRDefault="00531D9A" w:rsidP="00531D9A">
      <w:pPr>
        <w:spacing w:after="0" w:line="360" w:lineRule="auto"/>
        <w:jc w:val="both"/>
        <w:rPr>
          <w:rFonts w:ascii="Times New Roman" w:hAnsi="Times New Roman" w:cs="Times New Roman"/>
          <w:sz w:val="24"/>
          <w:szCs w:val="24"/>
        </w:rPr>
      </w:pPr>
      <w:r w:rsidRPr="002C348E">
        <w:rPr>
          <w:rFonts w:ascii="Times New Roman" w:hAnsi="Times New Roman" w:cs="Times New Roman"/>
          <w:sz w:val="24"/>
          <w:szCs w:val="24"/>
        </w:rPr>
        <w:tab/>
        <w:t>The next or alternative basis for relief alleged by the applicant is based on fictional fulfillment. Fictional fulfillment is doctrine in contract based on equity. In fictional fulfillment, a co</w:t>
      </w:r>
      <w:r>
        <w:rPr>
          <w:rFonts w:ascii="Times New Roman" w:hAnsi="Times New Roman" w:cs="Times New Roman"/>
          <w:sz w:val="24"/>
          <w:szCs w:val="24"/>
        </w:rPr>
        <w:t>n</w:t>
      </w:r>
      <w:r w:rsidRPr="002C348E">
        <w:rPr>
          <w:rFonts w:ascii="Times New Roman" w:hAnsi="Times New Roman" w:cs="Times New Roman"/>
          <w:sz w:val="24"/>
          <w:szCs w:val="24"/>
        </w:rPr>
        <w:t xml:space="preserve">dition subject to be fulfilled by a contracting party is deemed to have been fulfilled if the other contracting party in breach of his or her duty, designedly frustrates the fulfillment of the condition by the party under obligation to fulfill or perform. See </w:t>
      </w:r>
      <w:r w:rsidRPr="002C348E">
        <w:rPr>
          <w:rFonts w:ascii="Times New Roman" w:hAnsi="Times New Roman" w:cs="Times New Roman"/>
          <w:i/>
          <w:sz w:val="24"/>
          <w:szCs w:val="24"/>
        </w:rPr>
        <w:t xml:space="preserve">Lekup Rop Co. No. </w:t>
      </w:r>
      <w:r>
        <w:rPr>
          <w:rFonts w:ascii="Times New Roman" w:hAnsi="Times New Roman" w:cs="Times New Roman"/>
          <w:i/>
          <w:sz w:val="24"/>
          <w:szCs w:val="24"/>
        </w:rPr>
        <w:t>4</w:t>
      </w:r>
      <w:r w:rsidRPr="002C348E">
        <w:rPr>
          <w:rFonts w:ascii="Times New Roman" w:hAnsi="Times New Roman" w:cs="Times New Roman"/>
          <w:i/>
          <w:sz w:val="24"/>
          <w:szCs w:val="24"/>
        </w:rPr>
        <w:t xml:space="preserve"> (Pty) Ltd</w:t>
      </w:r>
      <w:r w:rsidRPr="002C348E">
        <w:rPr>
          <w:rFonts w:ascii="Times New Roman" w:hAnsi="Times New Roman" w:cs="Times New Roman"/>
          <w:sz w:val="24"/>
          <w:szCs w:val="24"/>
        </w:rPr>
        <w:t xml:space="preserve"> v </w:t>
      </w:r>
      <w:r w:rsidRPr="002C348E">
        <w:rPr>
          <w:rFonts w:ascii="Times New Roman" w:hAnsi="Times New Roman" w:cs="Times New Roman"/>
          <w:i/>
          <w:sz w:val="24"/>
          <w:szCs w:val="24"/>
        </w:rPr>
        <w:t>Wright 2012</w:t>
      </w:r>
      <w:r w:rsidRPr="002C348E">
        <w:rPr>
          <w:rFonts w:ascii="Times New Roman" w:hAnsi="Times New Roman" w:cs="Times New Roman"/>
          <w:sz w:val="24"/>
          <w:szCs w:val="24"/>
        </w:rPr>
        <w:t xml:space="preserve"> (5) SA 246 SCA; </w:t>
      </w:r>
      <w:r w:rsidRPr="002C348E">
        <w:rPr>
          <w:rFonts w:ascii="Times New Roman" w:hAnsi="Times New Roman" w:cs="Times New Roman"/>
          <w:i/>
          <w:sz w:val="24"/>
          <w:szCs w:val="24"/>
        </w:rPr>
        <w:t>Scott and Anor</w:t>
      </w:r>
      <w:r w:rsidRPr="002C348E">
        <w:rPr>
          <w:rFonts w:ascii="Times New Roman" w:hAnsi="Times New Roman" w:cs="Times New Roman"/>
          <w:sz w:val="24"/>
          <w:szCs w:val="24"/>
        </w:rPr>
        <w:t xml:space="preserve"> v </w:t>
      </w:r>
      <w:r w:rsidRPr="002C348E">
        <w:rPr>
          <w:rFonts w:ascii="Times New Roman" w:hAnsi="Times New Roman" w:cs="Times New Roman"/>
          <w:i/>
          <w:sz w:val="24"/>
          <w:szCs w:val="24"/>
        </w:rPr>
        <w:t>Bupard and Anor</w:t>
      </w:r>
      <w:r w:rsidRPr="002C348E">
        <w:rPr>
          <w:rFonts w:ascii="Times New Roman" w:hAnsi="Times New Roman" w:cs="Times New Roman"/>
          <w:sz w:val="24"/>
          <w:szCs w:val="24"/>
        </w:rPr>
        <w:t xml:space="preserve"> 1971 (2) SA 373; </w:t>
      </w:r>
      <w:r w:rsidRPr="002C348E">
        <w:rPr>
          <w:rFonts w:ascii="Times New Roman" w:hAnsi="Times New Roman" w:cs="Times New Roman"/>
          <w:i/>
          <w:sz w:val="24"/>
          <w:szCs w:val="24"/>
        </w:rPr>
        <w:t xml:space="preserve">Morris and Anor </w:t>
      </w:r>
      <w:r w:rsidRPr="002C348E">
        <w:rPr>
          <w:rFonts w:ascii="Times New Roman" w:hAnsi="Times New Roman" w:cs="Times New Roman"/>
          <w:sz w:val="24"/>
          <w:szCs w:val="24"/>
        </w:rPr>
        <w:t xml:space="preserve">v </w:t>
      </w:r>
      <w:r w:rsidRPr="002C348E">
        <w:rPr>
          <w:rFonts w:ascii="Times New Roman" w:hAnsi="Times New Roman" w:cs="Times New Roman"/>
          <w:i/>
          <w:sz w:val="24"/>
          <w:szCs w:val="24"/>
        </w:rPr>
        <w:t>Kambada and Anor 1992</w:t>
      </w:r>
      <w:r w:rsidRPr="002C348E">
        <w:rPr>
          <w:rFonts w:ascii="Times New Roman" w:hAnsi="Times New Roman" w:cs="Times New Roman"/>
          <w:sz w:val="24"/>
          <w:szCs w:val="24"/>
        </w:rPr>
        <w:t xml:space="preserve"> (1) ZLR 61</w:t>
      </w:r>
      <w:r>
        <w:rPr>
          <w:rFonts w:ascii="Times New Roman" w:hAnsi="Times New Roman" w:cs="Times New Roman"/>
          <w:sz w:val="24"/>
          <w:szCs w:val="24"/>
        </w:rPr>
        <w:t>;</w:t>
      </w:r>
      <w:r w:rsidRPr="002C348E">
        <w:rPr>
          <w:rFonts w:ascii="Times New Roman" w:hAnsi="Times New Roman" w:cs="Times New Roman"/>
          <w:sz w:val="24"/>
          <w:szCs w:val="24"/>
        </w:rPr>
        <w:t xml:space="preserve"> </w:t>
      </w:r>
      <w:r w:rsidRPr="002C348E">
        <w:rPr>
          <w:rFonts w:ascii="Times New Roman" w:hAnsi="Times New Roman" w:cs="Times New Roman"/>
          <w:i/>
          <w:sz w:val="24"/>
          <w:szCs w:val="24"/>
        </w:rPr>
        <w:t>Guthrie Corporation PLC</w:t>
      </w:r>
      <w:r w:rsidRPr="002C348E">
        <w:rPr>
          <w:rFonts w:ascii="Times New Roman" w:hAnsi="Times New Roman" w:cs="Times New Roman"/>
          <w:sz w:val="24"/>
          <w:szCs w:val="24"/>
        </w:rPr>
        <w:t xml:space="preserve"> v </w:t>
      </w:r>
      <w:r w:rsidRPr="002C348E">
        <w:rPr>
          <w:rFonts w:ascii="Times New Roman" w:hAnsi="Times New Roman" w:cs="Times New Roman"/>
          <w:i/>
          <w:sz w:val="24"/>
          <w:szCs w:val="24"/>
        </w:rPr>
        <w:t>Matrac (Pvt) Ltd</w:t>
      </w:r>
      <w:r w:rsidRPr="002C348E">
        <w:rPr>
          <w:rFonts w:ascii="Times New Roman" w:hAnsi="Times New Roman" w:cs="Times New Roman"/>
          <w:sz w:val="24"/>
          <w:szCs w:val="24"/>
        </w:rPr>
        <w:t xml:space="preserve"> 1989 (2) ZLR 323 (HC). The requirements for the application and success of the doctrine are not in dispute and the law is therefore settled in this regard.</w:t>
      </w:r>
    </w:p>
    <w:p w:rsidR="00531D9A" w:rsidRPr="002C348E" w:rsidRDefault="00531D9A" w:rsidP="00531D9A">
      <w:pPr>
        <w:spacing w:after="0" w:line="360" w:lineRule="auto"/>
        <w:jc w:val="both"/>
        <w:rPr>
          <w:rFonts w:ascii="Times New Roman" w:hAnsi="Times New Roman" w:cs="Times New Roman"/>
          <w:sz w:val="24"/>
          <w:szCs w:val="24"/>
        </w:rPr>
      </w:pPr>
      <w:r w:rsidRPr="002C348E">
        <w:rPr>
          <w:rFonts w:ascii="Times New Roman" w:hAnsi="Times New Roman" w:cs="Times New Roman"/>
          <w:sz w:val="24"/>
          <w:szCs w:val="24"/>
        </w:rPr>
        <w:tab/>
        <w:t>The judgment wil</w:t>
      </w:r>
      <w:r>
        <w:rPr>
          <w:rFonts w:ascii="Times New Roman" w:hAnsi="Times New Roman" w:cs="Times New Roman"/>
          <w:sz w:val="24"/>
          <w:szCs w:val="24"/>
        </w:rPr>
        <w:t xml:space="preserve">l </w:t>
      </w:r>
      <w:r w:rsidRPr="002C348E">
        <w:rPr>
          <w:rFonts w:ascii="Times New Roman" w:hAnsi="Times New Roman" w:cs="Times New Roman"/>
          <w:sz w:val="24"/>
          <w:szCs w:val="24"/>
        </w:rPr>
        <w:t>consider in brief whether the applicant performed its ob</w:t>
      </w:r>
      <w:r>
        <w:rPr>
          <w:rFonts w:ascii="Times New Roman" w:hAnsi="Times New Roman" w:cs="Times New Roman"/>
          <w:sz w:val="24"/>
          <w:szCs w:val="24"/>
        </w:rPr>
        <w:t>l</w:t>
      </w:r>
      <w:r w:rsidRPr="002C348E">
        <w:rPr>
          <w:rFonts w:ascii="Times New Roman" w:hAnsi="Times New Roman" w:cs="Times New Roman"/>
          <w:sz w:val="24"/>
          <w:szCs w:val="24"/>
        </w:rPr>
        <w:t>igatio</w:t>
      </w:r>
      <w:r>
        <w:rPr>
          <w:rFonts w:ascii="Times New Roman" w:hAnsi="Times New Roman" w:cs="Times New Roman"/>
          <w:sz w:val="24"/>
          <w:szCs w:val="24"/>
        </w:rPr>
        <w:t>n</w:t>
      </w:r>
      <w:r w:rsidRPr="002C348E">
        <w:rPr>
          <w:rFonts w:ascii="Times New Roman" w:hAnsi="Times New Roman" w:cs="Times New Roman"/>
          <w:sz w:val="24"/>
          <w:szCs w:val="24"/>
        </w:rPr>
        <w:t>s and if not, the reasons given. The judgment wi</w:t>
      </w:r>
      <w:r>
        <w:rPr>
          <w:rFonts w:ascii="Times New Roman" w:hAnsi="Times New Roman" w:cs="Times New Roman"/>
          <w:sz w:val="24"/>
          <w:szCs w:val="24"/>
        </w:rPr>
        <w:t>l</w:t>
      </w:r>
      <w:r w:rsidRPr="002C348E">
        <w:rPr>
          <w:rFonts w:ascii="Times New Roman" w:hAnsi="Times New Roman" w:cs="Times New Roman"/>
          <w:sz w:val="24"/>
          <w:szCs w:val="24"/>
        </w:rPr>
        <w:t>l then consider wheth</w:t>
      </w:r>
      <w:r>
        <w:rPr>
          <w:rFonts w:ascii="Times New Roman" w:hAnsi="Times New Roman" w:cs="Times New Roman"/>
          <w:sz w:val="24"/>
          <w:szCs w:val="24"/>
        </w:rPr>
        <w:t>e</w:t>
      </w:r>
      <w:r w:rsidRPr="002C348E">
        <w:rPr>
          <w:rFonts w:ascii="Times New Roman" w:hAnsi="Times New Roman" w:cs="Times New Roman"/>
          <w:sz w:val="24"/>
          <w:szCs w:val="24"/>
        </w:rPr>
        <w:t>r or not</w:t>
      </w:r>
      <w:r w:rsidR="00994984">
        <w:rPr>
          <w:rFonts w:ascii="Times New Roman" w:hAnsi="Times New Roman" w:cs="Times New Roman"/>
          <w:sz w:val="24"/>
          <w:szCs w:val="24"/>
        </w:rPr>
        <w:t xml:space="preserve"> for the reasons given,</w:t>
      </w:r>
      <w:r w:rsidRPr="002C348E">
        <w:rPr>
          <w:rFonts w:ascii="Times New Roman" w:hAnsi="Times New Roman" w:cs="Times New Roman"/>
          <w:sz w:val="24"/>
          <w:szCs w:val="24"/>
        </w:rPr>
        <w:t xml:space="preserve"> the respondent frustrated the performance of the obligations. The applicant avers that consequent upon the amendment or addendum to the contract, the respondent had no legal grounds to allege failure of performance by the applicant to carry out its contractual obligations. It averred that the refusal to pay subcontractors led to their demobilizing from site for non payment and hence frustrated the performance of the contractually agreed works. The addendum in clause 10 acknowledged the respondent’s liability for payment of subcontractors and whi</w:t>
      </w:r>
      <w:r>
        <w:rPr>
          <w:rFonts w:ascii="Times New Roman" w:hAnsi="Times New Roman" w:cs="Times New Roman"/>
          <w:sz w:val="24"/>
          <w:szCs w:val="24"/>
        </w:rPr>
        <w:t>l</w:t>
      </w:r>
      <w:r w:rsidRPr="002C348E">
        <w:rPr>
          <w:rFonts w:ascii="Times New Roman" w:hAnsi="Times New Roman" w:cs="Times New Roman"/>
          <w:sz w:val="24"/>
          <w:szCs w:val="24"/>
        </w:rPr>
        <w:t xml:space="preserve">st acknowledging that the respondent still had to get an advance payment </w:t>
      </w:r>
      <w:r w:rsidR="00994984">
        <w:rPr>
          <w:rFonts w:ascii="Times New Roman" w:hAnsi="Times New Roman" w:cs="Times New Roman"/>
          <w:sz w:val="24"/>
          <w:szCs w:val="24"/>
        </w:rPr>
        <w:t>g</w:t>
      </w:r>
      <w:r w:rsidRPr="002C348E">
        <w:rPr>
          <w:rFonts w:ascii="Times New Roman" w:hAnsi="Times New Roman" w:cs="Times New Roman"/>
          <w:sz w:val="24"/>
          <w:szCs w:val="24"/>
        </w:rPr>
        <w:t>uarantee for funds already released, it was not indic</w:t>
      </w:r>
      <w:r>
        <w:rPr>
          <w:rFonts w:ascii="Times New Roman" w:hAnsi="Times New Roman" w:cs="Times New Roman"/>
          <w:sz w:val="24"/>
          <w:szCs w:val="24"/>
        </w:rPr>
        <w:t>a</w:t>
      </w:r>
      <w:r w:rsidRPr="002C348E">
        <w:rPr>
          <w:rFonts w:ascii="Times New Roman" w:hAnsi="Times New Roman" w:cs="Times New Roman"/>
          <w:sz w:val="24"/>
          <w:szCs w:val="24"/>
        </w:rPr>
        <w:t>ted in the addendum that payment of the admitted liability of the balance would be withheld until the advance payment guarantee was availed.</w:t>
      </w:r>
    </w:p>
    <w:p w:rsidR="00531D9A" w:rsidRPr="002C348E" w:rsidRDefault="00531D9A" w:rsidP="00531D9A">
      <w:pPr>
        <w:spacing w:after="0" w:line="360" w:lineRule="auto"/>
        <w:jc w:val="both"/>
        <w:rPr>
          <w:rFonts w:ascii="Times New Roman" w:hAnsi="Times New Roman" w:cs="Times New Roman"/>
          <w:sz w:val="24"/>
          <w:szCs w:val="24"/>
        </w:rPr>
      </w:pPr>
      <w:r w:rsidRPr="002C348E">
        <w:rPr>
          <w:rFonts w:ascii="Times New Roman" w:hAnsi="Times New Roman" w:cs="Times New Roman"/>
          <w:sz w:val="24"/>
          <w:szCs w:val="24"/>
        </w:rPr>
        <w:tab/>
        <w:t>As regards funding which obviously was key to the successful implementation of the contract, the applicant averred that</w:t>
      </w:r>
      <w:r>
        <w:rPr>
          <w:rFonts w:ascii="Times New Roman" w:hAnsi="Times New Roman" w:cs="Times New Roman"/>
          <w:sz w:val="24"/>
          <w:szCs w:val="24"/>
        </w:rPr>
        <w:t xml:space="preserve"> </w:t>
      </w:r>
      <w:r w:rsidRPr="002C348E">
        <w:rPr>
          <w:rFonts w:ascii="Times New Roman" w:hAnsi="Times New Roman" w:cs="Times New Roman"/>
          <w:sz w:val="24"/>
          <w:szCs w:val="24"/>
        </w:rPr>
        <w:t xml:space="preserve">China Exim Bank agreed to fully fund the project </w:t>
      </w:r>
      <w:r>
        <w:rPr>
          <w:rFonts w:ascii="Times New Roman" w:hAnsi="Times New Roman" w:cs="Times New Roman"/>
          <w:sz w:val="24"/>
          <w:szCs w:val="24"/>
        </w:rPr>
        <w:t xml:space="preserve">as </w:t>
      </w:r>
      <w:r w:rsidRPr="002C348E">
        <w:rPr>
          <w:rFonts w:ascii="Times New Roman" w:hAnsi="Times New Roman" w:cs="Times New Roman"/>
          <w:sz w:val="24"/>
          <w:szCs w:val="24"/>
        </w:rPr>
        <w:t xml:space="preserve">the </w:t>
      </w:r>
      <w:r w:rsidRPr="002C348E">
        <w:rPr>
          <w:rFonts w:ascii="Times New Roman" w:hAnsi="Times New Roman" w:cs="Times New Roman"/>
          <w:sz w:val="24"/>
          <w:szCs w:val="24"/>
        </w:rPr>
        <w:lastRenderedPageBreak/>
        <w:t>financier. The unlocking of the funding was subject to the provision of a guarantee and underwriting of the borrowing by Sinosure an entity which guarantees that bank</w:t>
      </w:r>
      <w:r w:rsidR="00994984">
        <w:rPr>
          <w:rFonts w:ascii="Times New Roman" w:hAnsi="Times New Roman" w:cs="Times New Roman"/>
          <w:sz w:val="24"/>
          <w:szCs w:val="24"/>
        </w:rPr>
        <w:t>’</w:t>
      </w:r>
      <w:r w:rsidRPr="002C348E">
        <w:rPr>
          <w:rFonts w:ascii="Times New Roman" w:hAnsi="Times New Roman" w:cs="Times New Roman"/>
          <w:sz w:val="24"/>
          <w:szCs w:val="24"/>
        </w:rPr>
        <w:t>s lending</w:t>
      </w:r>
      <w:r>
        <w:rPr>
          <w:rFonts w:ascii="Times New Roman" w:hAnsi="Times New Roman" w:cs="Times New Roman"/>
          <w:sz w:val="24"/>
          <w:szCs w:val="24"/>
        </w:rPr>
        <w:t>s</w:t>
      </w:r>
      <w:r w:rsidRPr="002C348E">
        <w:rPr>
          <w:rFonts w:ascii="Times New Roman" w:hAnsi="Times New Roman" w:cs="Times New Roman"/>
          <w:sz w:val="24"/>
          <w:szCs w:val="24"/>
        </w:rPr>
        <w:t xml:space="preserve">. It is common cause that </w:t>
      </w:r>
      <w:r>
        <w:rPr>
          <w:rFonts w:ascii="Times New Roman" w:hAnsi="Times New Roman" w:cs="Times New Roman"/>
          <w:sz w:val="24"/>
          <w:szCs w:val="24"/>
        </w:rPr>
        <w:t>S</w:t>
      </w:r>
      <w:r w:rsidRPr="002C348E">
        <w:rPr>
          <w:rFonts w:ascii="Times New Roman" w:hAnsi="Times New Roman" w:cs="Times New Roman"/>
          <w:sz w:val="24"/>
          <w:szCs w:val="24"/>
        </w:rPr>
        <w:t>inosure would not guarantee the funds because it alleged that the Zimbabwean Government was in premium payment arrears in regard to other funding agreement</w:t>
      </w:r>
      <w:r>
        <w:rPr>
          <w:rFonts w:ascii="Times New Roman" w:hAnsi="Times New Roman" w:cs="Times New Roman"/>
          <w:sz w:val="24"/>
          <w:szCs w:val="24"/>
        </w:rPr>
        <w:t>s</w:t>
      </w:r>
      <w:r w:rsidRPr="002C348E">
        <w:rPr>
          <w:rFonts w:ascii="Times New Roman" w:hAnsi="Times New Roman" w:cs="Times New Roman"/>
          <w:sz w:val="24"/>
          <w:szCs w:val="24"/>
        </w:rPr>
        <w:t xml:space="preserve"> which had been extend</w:t>
      </w:r>
      <w:r>
        <w:rPr>
          <w:rFonts w:ascii="Times New Roman" w:hAnsi="Times New Roman" w:cs="Times New Roman"/>
          <w:sz w:val="24"/>
          <w:szCs w:val="24"/>
        </w:rPr>
        <w:t>e</w:t>
      </w:r>
      <w:r w:rsidRPr="002C348E">
        <w:rPr>
          <w:rFonts w:ascii="Times New Roman" w:hAnsi="Times New Roman" w:cs="Times New Roman"/>
          <w:sz w:val="24"/>
          <w:szCs w:val="24"/>
        </w:rPr>
        <w:t xml:space="preserve">d by China </w:t>
      </w:r>
      <w:r>
        <w:rPr>
          <w:rFonts w:ascii="Times New Roman" w:hAnsi="Times New Roman" w:cs="Times New Roman"/>
          <w:sz w:val="24"/>
          <w:szCs w:val="24"/>
        </w:rPr>
        <w:t>E</w:t>
      </w:r>
      <w:r w:rsidRPr="002C348E">
        <w:rPr>
          <w:rFonts w:ascii="Times New Roman" w:hAnsi="Times New Roman" w:cs="Times New Roman"/>
          <w:sz w:val="24"/>
          <w:szCs w:val="24"/>
        </w:rPr>
        <w:t>xim Bank and guaranteed by Sinosure. The Government of Zimbabwe as already indicated is the respondent’s majority if not sole shareholder. The applicant averred that the challenge posed by the inability of the Government of Zimbabwe to clear its arrears and unl</w:t>
      </w:r>
      <w:r>
        <w:rPr>
          <w:rFonts w:ascii="Times New Roman" w:hAnsi="Times New Roman" w:cs="Times New Roman"/>
          <w:sz w:val="24"/>
          <w:szCs w:val="24"/>
        </w:rPr>
        <w:t>o</w:t>
      </w:r>
      <w:r w:rsidRPr="002C348E">
        <w:rPr>
          <w:rFonts w:ascii="Times New Roman" w:hAnsi="Times New Roman" w:cs="Times New Roman"/>
          <w:sz w:val="24"/>
          <w:szCs w:val="24"/>
        </w:rPr>
        <w:t>ck the project funding was not of its making and constituted a factor beyond its control. The respondent did not dispute that the Ministry and Minister of Finance and Economic Development followed the project with interest inasmuc</w:t>
      </w:r>
      <w:r>
        <w:rPr>
          <w:rFonts w:ascii="Times New Roman" w:hAnsi="Times New Roman" w:cs="Times New Roman"/>
          <w:sz w:val="24"/>
          <w:szCs w:val="24"/>
        </w:rPr>
        <w:t xml:space="preserve">h </w:t>
      </w:r>
      <w:r w:rsidRPr="002C348E">
        <w:rPr>
          <w:rFonts w:ascii="Times New Roman" w:hAnsi="Times New Roman" w:cs="Times New Roman"/>
          <w:sz w:val="24"/>
          <w:szCs w:val="24"/>
        </w:rPr>
        <w:t>as it was undoubtedly a project of national</w:t>
      </w:r>
      <w:r w:rsidR="00994984">
        <w:rPr>
          <w:rFonts w:ascii="Times New Roman" w:hAnsi="Times New Roman" w:cs="Times New Roman"/>
          <w:sz w:val="24"/>
          <w:szCs w:val="24"/>
        </w:rPr>
        <w:t xml:space="preserve"> and strategic</w:t>
      </w:r>
      <w:r w:rsidRPr="002C348E">
        <w:rPr>
          <w:rFonts w:ascii="Times New Roman" w:hAnsi="Times New Roman" w:cs="Times New Roman"/>
          <w:sz w:val="24"/>
          <w:szCs w:val="24"/>
        </w:rPr>
        <w:t xml:space="preserve"> importance. The Finance Ministry granted National Project status to the project  in consequence of which it would benefit from concessions o</w:t>
      </w:r>
      <w:r w:rsidR="00994984">
        <w:rPr>
          <w:rFonts w:ascii="Times New Roman" w:hAnsi="Times New Roman" w:cs="Times New Roman"/>
          <w:sz w:val="24"/>
          <w:szCs w:val="24"/>
        </w:rPr>
        <w:t>n</w:t>
      </w:r>
      <w:r w:rsidRPr="002C348E">
        <w:rPr>
          <w:rFonts w:ascii="Times New Roman" w:hAnsi="Times New Roman" w:cs="Times New Roman"/>
          <w:sz w:val="24"/>
          <w:szCs w:val="24"/>
        </w:rPr>
        <w:t xml:space="preserve"> </w:t>
      </w:r>
      <w:r w:rsidR="00FC5B8A">
        <w:rPr>
          <w:rFonts w:ascii="Times New Roman" w:hAnsi="Times New Roman" w:cs="Times New Roman"/>
          <w:sz w:val="24"/>
          <w:szCs w:val="24"/>
        </w:rPr>
        <w:t>C</w:t>
      </w:r>
      <w:r w:rsidRPr="002C348E">
        <w:rPr>
          <w:rFonts w:ascii="Times New Roman" w:hAnsi="Times New Roman" w:cs="Times New Roman"/>
          <w:sz w:val="24"/>
          <w:szCs w:val="24"/>
        </w:rPr>
        <w:t>ustoms and related duties in import of project mat</w:t>
      </w:r>
      <w:r>
        <w:rPr>
          <w:rFonts w:ascii="Times New Roman" w:hAnsi="Times New Roman" w:cs="Times New Roman"/>
          <w:sz w:val="24"/>
          <w:szCs w:val="24"/>
        </w:rPr>
        <w:t>e</w:t>
      </w:r>
      <w:r w:rsidRPr="002C348E">
        <w:rPr>
          <w:rFonts w:ascii="Times New Roman" w:hAnsi="Times New Roman" w:cs="Times New Roman"/>
          <w:sz w:val="24"/>
          <w:szCs w:val="24"/>
        </w:rPr>
        <w:t>rials as set out in section</w:t>
      </w:r>
      <w:r w:rsidR="00FC5B8A">
        <w:rPr>
          <w:rFonts w:ascii="Times New Roman" w:hAnsi="Times New Roman" w:cs="Times New Roman"/>
          <w:sz w:val="24"/>
          <w:szCs w:val="24"/>
        </w:rPr>
        <w:t>s</w:t>
      </w:r>
      <w:r w:rsidRPr="002C348E">
        <w:rPr>
          <w:rFonts w:ascii="Times New Roman" w:hAnsi="Times New Roman" w:cs="Times New Roman"/>
          <w:sz w:val="24"/>
          <w:szCs w:val="24"/>
        </w:rPr>
        <w:t xml:space="preserve"> 140 and 141 of the Customs and Excise Regulations. The Minister of Finance offered to issue in favour of the China Exim Bank a sovereign guarantee in the sum of US$147 000 000 to secure funding for the project.</w:t>
      </w:r>
    </w:p>
    <w:p w:rsidR="00531D9A" w:rsidRPr="002C348E" w:rsidRDefault="00531D9A" w:rsidP="00531D9A">
      <w:pPr>
        <w:spacing w:after="0" w:line="360" w:lineRule="auto"/>
        <w:jc w:val="both"/>
        <w:rPr>
          <w:rFonts w:ascii="Times New Roman" w:hAnsi="Times New Roman" w:cs="Times New Roman"/>
          <w:sz w:val="24"/>
          <w:szCs w:val="24"/>
        </w:rPr>
      </w:pPr>
      <w:r w:rsidRPr="002C348E">
        <w:rPr>
          <w:rFonts w:ascii="Times New Roman" w:hAnsi="Times New Roman" w:cs="Times New Roman"/>
          <w:sz w:val="24"/>
          <w:szCs w:val="24"/>
        </w:rPr>
        <w:tab/>
        <w:t xml:space="preserve">Following engagement between the Ministry of Finance and the respondent, the former on 5 April, 2017 exhorted the latter “to source local funds for the civil works and to raise the whole amount of the project locally to the extent possible” save for the procurement of generators for which depending on availability of foreign currency those components would be imported </w:t>
      </w:r>
      <w:r>
        <w:rPr>
          <w:rFonts w:ascii="Times New Roman" w:hAnsi="Times New Roman" w:cs="Times New Roman"/>
          <w:sz w:val="24"/>
          <w:szCs w:val="24"/>
        </w:rPr>
        <w:t>a</w:t>
      </w:r>
      <w:r w:rsidRPr="002C348E">
        <w:rPr>
          <w:rFonts w:ascii="Times New Roman" w:hAnsi="Times New Roman" w:cs="Times New Roman"/>
          <w:sz w:val="24"/>
          <w:szCs w:val="24"/>
        </w:rPr>
        <w:t xml:space="preserve">nd foreign currency allocation prioritized. The Minister </w:t>
      </w:r>
      <w:r w:rsidR="00FC5B8A">
        <w:rPr>
          <w:rFonts w:ascii="Times New Roman" w:hAnsi="Times New Roman" w:cs="Times New Roman"/>
          <w:sz w:val="24"/>
          <w:szCs w:val="24"/>
        </w:rPr>
        <w:t xml:space="preserve">enjoined </w:t>
      </w:r>
      <w:r w:rsidRPr="002C348E">
        <w:rPr>
          <w:rFonts w:ascii="Times New Roman" w:hAnsi="Times New Roman" w:cs="Times New Roman"/>
          <w:sz w:val="24"/>
          <w:szCs w:val="24"/>
        </w:rPr>
        <w:t>the respondent to engage CBZ Bank</w:t>
      </w:r>
      <w:r w:rsidR="00FC5B8A">
        <w:rPr>
          <w:rFonts w:ascii="Times New Roman" w:hAnsi="Times New Roman" w:cs="Times New Roman"/>
          <w:sz w:val="24"/>
          <w:szCs w:val="24"/>
        </w:rPr>
        <w:t xml:space="preserve"> Ltd</w:t>
      </w:r>
      <w:r w:rsidRPr="002C348E">
        <w:rPr>
          <w:rFonts w:ascii="Times New Roman" w:hAnsi="Times New Roman" w:cs="Times New Roman"/>
          <w:sz w:val="24"/>
          <w:szCs w:val="24"/>
        </w:rPr>
        <w:t xml:space="preserve"> to structure and issue the Bond to raise the funding locally and that the process be expedited. The Minister intimated in the l</w:t>
      </w:r>
      <w:r w:rsidR="00FC5B8A">
        <w:rPr>
          <w:rFonts w:ascii="Times New Roman" w:hAnsi="Times New Roman" w:cs="Times New Roman"/>
          <w:sz w:val="24"/>
          <w:szCs w:val="24"/>
        </w:rPr>
        <w:t>e</w:t>
      </w:r>
      <w:r w:rsidRPr="002C348E">
        <w:rPr>
          <w:rFonts w:ascii="Times New Roman" w:hAnsi="Times New Roman" w:cs="Times New Roman"/>
          <w:sz w:val="24"/>
          <w:szCs w:val="24"/>
        </w:rPr>
        <w:t xml:space="preserve">tter that </w:t>
      </w:r>
      <w:r w:rsidR="00FC5B8A">
        <w:rPr>
          <w:rFonts w:ascii="Times New Roman" w:hAnsi="Times New Roman" w:cs="Times New Roman"/>
          <w:sz w:val="24"/>
          <w:szCs w:val="24"/>
        </w:rPr>
        <w:t>“</w:t>
      </w:r>
      <w:r w:rsidRPr="002C348E">
        <w:rPr>
          <w:rFonts w:ascii="Times New Roman" w:hAnsi="Times New Roman" w:cs="Times New Roman"/>
          <w:sz w:val="24"/>
          <w:szCs w:val="24"/>
        </w:rPr>
        <w:t>due to technological improvements in solar technologies, project costs should be revisited with a view to adjusting the costs downwar</w:t>
      </w:r>
      <w:r>
        <w:rPr>
          <w:rFonts w:ascii="Times New Roman" w:hAnsi="Times New Roman" w:cs="Times New Roman"/>
          <w:sz w:val="24"/>
          <w:szCs w:val="24"/>
        </w:rPr>
        <w:t>d</w:t>
      </w:r>
      <w:r w:rsidRPr="002C348E">
        <w:rPr>
          <w:rFonts w:ascii="Times New Roman" w:hAnsi="Times New Roman" w:cs="Times New Roman"/>
          <w:sz w:val="24"/>
          <w:szCs w:val="24"/>
        </w:rPr>
        <w:t>s.</w:t>
      </w:r>
      <w:r w:rsidR="00FC5B8A">
        <w:rPr>
          <w:rFonts w:ascii="Times New Roman" w:hAnsi="Times New Roman" w:cs="Times New Roman"/>
          <w:sz w:val="24"/>
          <w:szCs w:val="24"/>
        </w:rPr>
        <w:t>”</w:t>
      </w:r>
      <w:r w:rsidRPr="002C348E">
        <w:rPr>
          <w:rFonts w:ascii="Times New Roman" w:hAnsi="Times New Roman" w:cs="Times New Roman"/>
          <w:sz w:val="24"/>
          <w:szCs w:val="24"/>
        </w:rPr>
        <w:t xml:space="preserve"> The Minister </w:t>
      </w:r>
      <w:r w:rsidR="0035765D">
        <w:rPr>
          <w:rFonts w:ascii="Times New Roman" w:hAnsi="Times New Roman" w:cs="Times New Roman"/>
          <w:sz w:val="24"/>
          <w:szCs w:val="24"/>
        </w:rPr>
        <w:t xml:space="preserve">prior to the letter of 5 April, 2017 had </w:t>
      </w:r>
      <w:r w:rsidRPr="002C348E">
        <w:rPr>
          <w:rFonts w:ascii="Times New Roman" w:hAnsi="Times New Roman" w:cs="Times New Roman"/>
          <w:sz w:val="24"/>
          <w:szCs w:val="24"/>
        </w:rPr>
        <w:t xml:space="preserve">also by letter dated 20 February, 2017, conferred </w:t>
      </w:r>
      <w:r w:rsidR="0035765D">
        <w:rPr>
          <w:rFonts w:ascii="Times New Roman" w:hAnsi="Times New Roman" w:cs="Times New Roman"/>
          <w:sz w:val="24"/>
          <w:szCs w:val="24"/>
        </w:rPr>
        <w:t>P</w:t>
      </w:r>
      <w:r w:rsidRPr="002C348E">
        <w:rPr>
          <w:rFonts w:ascii="Times New Roman" w:hAnsi="Times New Roman" w:cs="Times New Roman"/>
          <w:sz w:val="24"/>
          <w:szCs w:val="24"/>
        </w:rPr>
        <w:t xml:space="preserve">rescribed </w:t>
      </w:r>
      <w:r w:rsidR="0035765D">
        <w:rPr>
          <w:rFonts w:ascii="Times New Roman" w:hAnsi="Times New Roman" w:cs="Times New Roman"/>
          <w:sz w:val="24"/>
          <w:szCs w:val="24"/>
        </w:rPr>
        <w:t>A</w:t>
      </w:r>
      <w:r w:rsidRPr="002C348E">
        <w:rPr>
          <w:rFonts w:ascii="Times New Roman" w:hAnsi="Times New Roman" w:cs="Times New Roman"/>
          <w:sz w:val="24"/>
          <w:szCs w:val="24"/>
        </w:rPr>
        <w:t xml:space="preserve">sset </w:t>
      </w:r>
      <w:r w:rsidR="0035765D">
        <w:rPr>
          <w:rFonts w:ascii="Times New Roman" w:hAnsi="Times New Roman" w:cs="Times New Roman"/>
          <w:sz w:val="24"/>
          <w:szCs w:val="24"/>
        </w:rPr>
        <w:t>S</w:t>
      </w:r>
      <w:r w:rsidRPr="002C348E">
        <w:rPr>
          <w:rFonts w:ascii="Times New Roman" w:hAnsi="Times New Roman" w:cs="Times New Roman"/>
          <w:sz w:val="24"/>
          <w:szCs w:val="24"/>
        </w:rPr>
        <w:t>tatus to the project.</w:t>
      </w:r>
      <w:r w:rsidR="0035765D">
        <w:rPr>
          <w:rFonts w:ascii="Times New Roman" w:hAnsi="Times New Roman" w:cs="Times New Roman"/>
          <w:sz w:val="24"/>
          <w:szCs w:val="24"/>
        </w:rPr>
        <w:t xml:space="preserve"> The effect of the conferment of the said status was that the project would be open to investment by </w:t>
      </w:r>
      <w:r w:rsidR="0035765D" w:rsidRPr="0035765D">
        <w:rPr>
          <w:rFonts w:ascii="Times New Roman" w:hAnsi="Times New Roman" w:cs="Times New Roman"/>
          <w:i/>
          <w:sz w:val="24"/>
          <w:szCs w:val="24"/>
        </w:rPr>
        <w:t>inter alia</w:t>
      </w:r>
      <w:r w:rsidR="0035765D">
        <w:rPr>
          <w:rFonts w:ascii="Times New Roman" w:hAnsi="Times New Roman" w:cs="Times New Roman"/>
          <w:sz w:val="24"/>
          <w:szCs w:val="24"/>
        </w:rPr>
        <w:t>, insurance and pensions funds to a minimum of 10% of their assets and they would also enjoy tax concessions from the investment.</w:t>
      </w:r>
      <w:r w:rsidRPr="002C348E">
        <w:rPr>
          <w:rFonts w:ascii="Times New Roman" w:hAnsi="Times New Roman" w:cs="Times New Roman"/>
          <w:sz w:val="24"/>
          <w:szCs w:val="24"/>
        </w:rPr>
        <w:t xml:space="preserve"> </w:t>
      </w:r>
      <w:r>
        <w:rPr>
          <w:rFonts w:ascii="Times New Roman" w:hAnsi="Times New Roman" w:cs="Times New Roman"/>
          <w:sz w:val="24"/>
          <w:szCs w:val="24"/>
        </w:rPr>
        <w:t>T</w:t>
      </w:r>
      <w:r w:rsidRPr="002C348E">
        <w:rPr>
          <w:rFonts w:ascii="Times New Roman" w:hAnsi="Times New Roman" w:cs="Times New Roman"/>
          <w:sz w:val="24"/>
          <w:szCs w:val="24"/>
        </w:rPr>
        <w:t xml:space="preserve">here can therefore be no doubt that the involvement of the shareholders or </w:t>
      </w:r>
      <w:r w:rsidRPr="002C348E">
        <w:rPr>
          <w:rFonts w:ascii="Times New Roman" w:hAnsi="Times New Roman" w:cs="Times New Roman"/>
          <w:sz w:val="24"/>
          <w:szCs w:val="24"/>
        </w:rPr>
        <w:lastRenderedPageBreak/>
        <w:t>government in the implementation of the project was not only visible but entrenched. This is of course as it should be because of the national character of the project.</w:t>
      </w:r>
    </w:p>
    <w:p w:rsidR="00531D9A" w:rsidRDefault="00531D9A" w:rsidP="00531D9A">
      <w:pPr>
        <w:spacing w:after="0" w:line="360" w:lineRule="auto"/>
        <w:jc w:val="both"/>
        <w:rPr>
          <w:rFonts w:ascii="Times New Roman" w:hAnsi="Times New Roman" w:cs="Times New Roman"/>
          <w:sz w:val="24"/>
          <w:szCs w:val="24"/>
        </w:rPr>
      </w:pPr>
      <w:r w:rsidRPr="002C348E">
        <w:rPr>
          <w:rFonts w:ascii="Times New Roman" w:hAnsi="Times New Roman" w:cs="Times New Roman"/>
          <w:sz w:val="24"/>
          <w:szCs w:val="24"/>
        </w:rPr>
        <w:tab/>
        <w:t>The respondent in its opposing papers sought to attack the integrity of the applicant’s partner CHINT Electric Co Ltd alleging that it had engaged in fraudulent activities b</w:t>
      </w:r>
      <w:r>
        <w:rPr>
          <w:rFonts w:ascii="Times New Roman" w:hAnsi="Times New Roman" w:cs="Times New Roman"/>
          <w:sz w:val="24"/>
          <w:szCs w:val="24"/>
        </w:rPr>
        <w:t>asing</w:t>
      </w:r>
      <w:r w:rsidRPr="002C348E">
        <w:rPr>
          <w:rFonts w:ascii="Times New Roman" w:hAnsi="Times New Roman" w:cs="Times New Roman"/>
          <w:sz w:val="24"/>
          <w:szCs w:val="24"/>
        </w:rPr>
        <w:t xml:space="preserve"> it on information whose source was not authenticated. Crucially these are the matters which would have formed the subject of discussion between</w:t>
      </w:r>
      <w:r>
        <w:rPr>
          <w:rFonts w:ascii="Times New Roman" w:hAnsi="Times New Roman" w:cs="Times New Roman"/>
          <w:sz w:val="24"/>
          <w:szCs w:val="24"/>
        </w:rPr>
        <w:t xml:space="preserve"> the parties and yet the respondent considered it proper yet it is clearly inappropriate to attack the Technical Partner without full facts or an investigation of the alleged unsuitability of the Technical Partner or hearing </w:t>
      </w:r>
      <w:r w:rsidR="0035765D">
        <w:rPr>
          <w:rFonts w:ascii="Times New Roman" w:hAnsi="Times New Roman" w:cs="Times New Roman"/>
          <w:sz w:val="24"/>
          <w:szCs w:val="24"/>
        </w:rPr>
        <w:t xml:space="preserve">its side of the story </w:t>
      </w:r>
      <w:r>
        <w:rPr>
          <w:rFonts w:ascii="Times New Roman" w:hAnsi="Times New Roman" w:cs="Times New Roman"/>
          <w:sz w:val="24"/>
          <w:szCs w:val="24"/>
        </w:rPr>
        <w:t>on the allegations. What is missing from the respondent’s papers is a explanation of what it did following the Minister’s directives as already indicated. In the light of an obvious stumbling block to the f</w:t>
      </w:r>
      <w:r w:rsidR="0035765D">
        <w:rPr>
          <w:rFonts w:ascii="Times New Roman" w:hAnsi="Times New Roman" w:cs="Times New Roman"/>
          <w:sz w:val="24"/>
          <w:szCs w:val="24"/>
        </w:rPr>
        <w:t>u</w:t>
      </w:r>
      <w:r>
        <w:rPr>
          <w:rFonts w:ascii="Times New Roman" w:hAnsi="Times New Roman" w:cs="Times New Roman"/>
          <w:sz w:val="24"/>
          <w:szCs w:val="24"/>
        </w:rPr>
        <w:t xml:space="preserve">nding option and the express or tacit admission by Government that the Eximbank bank funding could not be unlocked and directing a re-visitation of the contract and funding options, could it be said that the applicant failed in its obligation to source for and facilitate funding. Quite clearly not. In the absence of an explanation from the respondent as to what it did to ensure availability of funding for the project given the need to clear outstanding arrears by government, it cannot be said that </w:t>
      </w:r>
      <w:r w:rsidR="0035765D">
        <w:rPr>
          <w:rFonts w:ascii="Times New Roman" w:hAnsi="Times New Roman" w:cs="Times New Roman"/>
          <w:sz w:val="24"/>
          <w:szCs w:val="24"/>
        </w:rPr>
        <w:t>t</w:t>
      </w:r>
      <w:r>
        <w:rPr>
          <w:rFonts w:ascii="Times New Roman" w:hAnsi="Times New Roman" w:cs="Times New Roman"/>
          <w:sz w:val="24"/>
          <w:szCs w:val="24"/>
        </w:rPr>
        <w:t xml:space="preserve">he applicant failed to </w:t>
      </w:r>
      <w:r w:rsidR="0035765D">
        <w:rPr>
          <w:rFonts w:ascii="Times New Roman" w:hAnsi="Times New Roman" w:cs="Times New Roman"/>
          <w:sz w:val="24"/>
          <w:szCs w:val="24"/>
        </w:rPr>
        <w:t>fulfill</w:t>
      </w:r>
      <w:r>
        <w:rPr>
          <w:rFonts w:ascii="Times New Roman" w:hAnsi="Times New Roman" w:cs="Times New Roman"/>
          <w:sz w:val="24"/>
          <w:szCs w:val="24"/>
        </w:rPr>
        <w:t xml:space="preserve"> its obligations</w:t>
      </w:r>
      <w:r w:rsidR="0035765D">
        <w:rPr>
          <w:rFonts w:ascii="Times New Roman" w:hAnsi="Times New Roman" w:cs="Times New Roman"/>
          <w:sz w:val="24"/>
          <w:szCs w:val="24"/>
        </w:rPr>
        <w:t>.</w:t>
      </w:r>
      <w:r>
        <w:rPr>
          <w:rFonts w:ascii="Times New Roman" w:hAnsi="Times New Roman" w:cs="Times New Roman"/>
          <w:sz w:val="24"/>
          <w:szCs w:val="24"/>
        </w:rPr>
        <w:t xml:space="preserve"> I would hold that a case for fictional </w:t>
      </w:r>
      <w:r w:rsidR="0035765D">
        <w:rPr>
          <w:rFonts w:ascii="Times New Roman" w:hAnsi="Times New Roman" w:cs="Times New Roman"/>
          <w:sz w:val="24"/>
          <w:szCs w:val="24"/>
        </w:rPr>
        <w:t>fulfillment</w:t>
      </w:r>
      <w:r>
        <w:rPr>
          <w:rFonts w:ascii="Times New Roman" w:hAnsi="Times New Roman" w:cs="Times New Roman"/>
          <w:sz w:val="24"/>
          <w:szCs w:val="24"/>
        </w:rPr>
        <w:t xml:space="preserve"> should be held to have been made. </w:t>
      </w:r>
    </w:p>
    <w:p w:rsidR="00531D9A" w:rsidRDefault="00531D9A" w:rsidP="00531D9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applicant went out of its way to ensure financial or funding closure by offering to review downwards the contract price by almost 20% from USD$172 848 597-60 to USD$ 139  235 763-00. The State Procurement Board by letter dated 15 June, 2017 (annexure G to the applicants founding affidavit) agreed to a restructuring of the agreement and the issue of a bond to raise funds locally for the project as well as the Gairezi Hydro Project in line i</w:t>
      </w:r>
      <w:r>
        <w:rPr>
          <w:rFonts w:ascii="Times New Roman" w:hAnsi="Times New Roman" w:cs="Times New Roman"/>
          <w:i/>
          <w:sz w:val="24"/>
          <w:szCs w:val="24"/>
        </w:rPr>
        <w:t xml:space="preserve">nter alia </w:t>
      </w:r>
      <w:r>
        <w:rPr>
          <w:rFonts w:ascii="Times New Roman" w:hAnsi="Times New Roman" w:cs="Times New Roman"/>
          <w:sz w:val="24"/>
          <w:szCs w:val="24"/>
        </w:rPr>
        <w:t>with s 7 (2) (b) of the Procurement Regulations. There is no explanation by the respondent of what the result of the attempts if any at a restructur</w:t>
      </w:r>
      <w:r w:rsidR="0035765D">
        <w:rPr>
          <w:rFonts w:ascii="Times New Roman" w:hAnsi="Times New Roman" w:cs="Times New Roman"/>
          <w:sz w:val="24"/>
          <w:szCs w:val="24"/>
        </w:rPr>
        <w:t>ing</w:t>
      </w:r>
      <w:r>
        <w:rPr>
          <w:rFonts w:ascii="Times New Roman" w:hAnsi="Times New Roman" w:cs="Times New Roman"/>
          <w:sz w:val="24"/>
          <w:szCs w:val="24"/>
        </w:rPr>
        <w:t xml:space="preserve"> was, save to state that the founding option by CBZ Bank Ltd as suggest</w:t>
      </w:r>
      <w:r w:rsidR="0035765D">
        <w:rPr>
          <w:rFonts w:ascii="Times New Roman" w:hAnsi="Times New Roman" w:cs="Times New Roman"/>
          <w:sz w:val="24"/>
          <w:szCs w:val="24"/>
        </w:rPr>
        <w:t>ed</w:t>
      </w:r>
      <w:r>
        <w:rPr>
          <w:rFonts w:ascii="Times New Roman" w:hAnsi="Times New Roman" w:cs="Times New Roman"/>
          <w:sz w:val="24"/>
          <w:szCs w:val="24"/>
        </w:rPr>
        <w:t xml:space="preserve"> by the Minister of Finance would have been too expensive for the respondent. The respondent then unbelievably submitted in its depositions in the affidavit that it was not its obligation to seek funding and that this was not the basis on which the original contract had been concluded.  The respondent’s deposition in this regard amounts to</w:t>
      </w:r>
      <w:r w:rsidR="006A3624">
        <w:rPr>
          <w:rFonts w:ascii="Times New Roman" w:hAnsi="Times New Roman" w:cs="Times New Roman"/>
          <w:sz w:val="24"/>
          <w:szCs w:val="24"/>
        </w:rPr>
        <w:t xml:space="preserve"> taking</w:t>
      </w:r>
      <w:r>
        <w:rPr>
          <w:rFonts w:ascii="Times New Roman" w:hAnsi="Times New Roman" w:cs="Times New Roman"/>
          <w:sz w:val="24"/>
          <w:szCs w:val="24"/>
        </w:rPr>
        <w:t xml:space="preserve"> too simplistic a view of the circumstances surrounding the issue</w:t>
      </w:r>
      <w:r w:rsidR="0035765D">
        <w:rPr>
          <w:rFonts w:ascii="Times New Roman" w:hAnsi="Times New Roman" w:cs="Times New Roman"/>
          <w:sz w:val="24"/>
          <w:szCs w:val="24"/>
        </w:rPr>
        <w:t xml:space="preserve"> of sourcing funding for the project</w:t>
      </w:r>
      <w:r>
        <w:rPr>
          <w:rFonts w:ascii="Times New Roman" w:hAnsi="Times New Roman" w:cs="Times New Roman"/>
          <w:sz w:val="24"/>
          <w:szCs w:val="24"/>
        </w:rPr>
        <w:t xml:space="preserve">. It was accepted by the powers that mattered that the applicant had not failed in its obligations to </w:t>
      </w:r>
      <w:r>
        <w:rPr>
          <w:rFonts w:ascii="Times New Roman" w:hAnsi="Times New Roman" w:cs="Times New Roman"/>
          <w:sz w:val="24"/>
          <w:szCs w:val="24"/>
        </w:rPr>
        <w:lastRenderedPageBreak/>
        <w:t xml:space="preserve">source for funding. This is evident from the communications and correspondences involving the State Procurement Board, Ministry of Finance, the respondent and the applicant. It is also evident from the General Conditions of Contract that Financing Agreements for funding for the works necessarily included the “Governments of the Employer” (respondent). This is clear from condition 1.1.6.9 of the conditions. In so far as the financing agreements were concerned therefore, the respondent was offside in its deposition to seek to distance itself from the problems which the Government had to satisfy </w:t>
      </w:r>
      <w:r w:rsidR="0035765D">
        <w:rPr>
          <w:rFonts w:ascii="Times New Roman" w:hAnsi="Times New Roman" w:cs="Times New Roman"/>
          <w:sz w:val="24"/>
          <w:szCs w:val="24"/>
        </w:rPr>
        <w:t>as</w:t>
      </w:r>
      <w:r>
        <w:rPr>
          <w:rFonts w:ascii="Times New Roman" w:hAnsi="Times New Roman" w:cs="Times New Roman"/>
          <w:sz w:val="24"/>
          <w:szCs w:val="24"/>
        </w:rPr>
        <w:t xml:space="preserve"> borrowing conditions because any envisaged funding option facilitated or sourced by the applicant would have had to involve</w:t>
      </w:r>
      <w:r w:rsidR="0035765D">
        <w:rPr>
          <w:rFonts w:ascii="Times New Roman" w:hAnsi="Times New Roman" w:cs="Times New Roman"/>
          <w:sz w:val="24"/>
          <w:szCs w:val="24"/>
        </w:rPr>
        <w:t xml:space="preserve"> the</w:t>
      </w:r>
      <w:r>
        <w:rPr>
          <w:rFonts w:ascii="Times New Roman" w:hAnsi="Times New Roman" w:cs="Times New Roman"/>
          <w:sz w:val="24"/>
          <w:szCs w:val="24"/>
        </w:rPr>
        <w:t xml:space="preserve"> Government</w:t>
      </w:r>
      <w:r w:rsidR="0035765D">
        <w:rPr>
          <w:rFonts w:ascii="Times New Roman" w:hAnsi="Times New Roman" w:cs="Times New Roman"/>
          <w:sz w:val="24"/>
          <w:szCs w:val="24"/>
        </w:rPr>
        <w:t xml:space="preserve"> of the Employer (respondent herein)</w:t>
      </w:r>
      <w:r>
        <w:rPr>
          <w:rFonts w:ascii="Times New Roman" w:hAnsi="Times New Roman" w:cs="Times New Roman"/>
          <w:sz w:val="24"/>
          <w:szCs w:val="24"/>
        </w:rPr>
        <w:t>.</w:t>
      </w:r>
    </w:p>
    <w:p w:rsidR="00BF620D" w:rsidRDefault="00531D9A" w:rsidP="00BF620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the above regard, it must always be borne in mind that the contract agreement in clause 5 </w:t>
      </w:r>
      <w:r w:rsidR="00BF620D">
        <w:rPr>
          <w:rFonts w:ascii="Times New Roman" w:hAnsi="Times New Roman" w:cs="Times New Roman"/>
          <w:sz w:val="24"/>
          <w:szCs w:val="24"/>
        </w:rPr>
        <w:t xml:space="preserve">protected the innocent party from having its rights in the contract terminated. Not only was termination to be preceded by notice but the party seeking to terminate was not entitled to do so in circumstances where the delay to satisfy any of the conditions precedent was caused by it. In </w:t>
      </w:r>
      <w:r w:rsidR="00BF620D" w:rsidRPr="00B74D16">
        <w:rPr>
          <w:rFonts w:ascii="Times New Roman" w:hAnsi="Times New Roman" w:cs="Times New Roman"/>
          <w:i/>
          <w:sz w:val="24"/>
          <w:szCs w:val="24"/>
        </w:rPr>
        <w:t>casu</w:t>
      </w:r>
      <w:r w:rsidR="00BF620D">
        <w:rPr>
          <w:rFonts w:ascii="Times New Roman" w:hAnsi="Times New Roman" w:cs="Times New Roman"/>
          <w:sz w:val="24"/>
          <w:szCs w:val="24"/>
        </w:rPr>
        <w:t>, the delay in consummating the financing arrangements was caused by Government’s failure to immediately satisfy the financing conditions. The respondent could not in this connection distance itself from Government’s challenges. The Government in acknowledging that the respondent was not the cause of the delay not only offered to issue a sovereign guarantee but advised the respondent to renegotiate the contract price downwards and seek local funding options sa</w:t>
      </w:r>
      <w:r w:rsidR="0035765D">
        <w:rPr>
          <w:rFonts w:ascii="Times New Roman" w:hAnsi="Times New Roman" w:cs="Times New Roman"/>
          <w:sz w:val="24"/>
          <w:szCs w:val="24"/>
        </w:rPr>
        <w:t>v</w:t>
      </w:r>
      <w:r w:rsidR="00BF620D">
        <w:rPr>
          <w:rFonts w:ascii="Times New Roman" w:hAnsi="Times New Roman" w:cs="Times New Roman"/>
          <w:sz w:val="24"/>
          <w:szCs w:val="24"/>
        </w:rPr>
        <w:t>e for importation of items li</w:t>
      </w:r>
      <w:r w:rsidR="0035765D">
        <w:rPr>
          <w:rFonts w:ascii="Times New Roman" w:hAnsi="Times New Roman" w:cs="Times New Roman"/>
          <w:sz w:val="24"/>
          <w:szCs w:val="24"/>
        </w:rPr>
        <w:t>k</w:t>
      </w:r>
      <w:r w:rsidR="00BF620D">
        <w:rPr>
          <w:rFonts w:ascii="Times New Roman" w:hAnsi="Times New Roman" w:cs="Times New Roman"/>
          <w:sz w:val="24"/>
          <w:szCs w:val="24"/>
        </w:rPr>
        <w:t>e generators which had to be imported. The respondent has no justification for seeking to hold the applicant in breach of securing and facilitating the funding arrangements. If anything, the applicants’ technical partner offered another proposal of a 4 phased implementation of the project whereby the project would be done in phases of 4 x 25 megawatts at a time. The fact that the applicant used its reasonable endeavours to ensure the satisfaction of this condition precedent was eminently demonstrated. The contract explicitly reposed a duty on each contracting party to use its best endeavours to ensure satisfaction of suspensive conditions. For the respondent to aver that the endeavour it pursued was too expensive and to end there without giving further details was not within the spirit and intent of the agreement.</w:t>
      </w:r>
    </w:p>
    <w:p w:rsidR="00BF620D" w:rsidRDefault="00BF620D" w:rsidP="00BF620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applicant</w:t>
      </w:r>
      <w:r w:rsidR="0035765D">
        <w:rPr>
          <w:rFonts w:ascii="Times New Roman" w:hAnsi="Times New Roman" w:cs="Times New Roman"/>
          <w:sz w:val="24"/>
          <w:szCs w:val="24"/>
        </w:rPr>
        <w:t>’</w:t>
      </w:r>
      <w:r>
        <w:rPr>
          <w:rFonts w:ascii="Times New Roman" w:hAnsi="Times New Roman" w:cs="Times New Roman"/>
          <w:sz w:val="24"/>
          <w:szCs w:val="24"/>
        </w:rPr>
        <w:t xml:space="preserve">s papers also reveal that the applicant offered to pay a USD$51 854 579.28. Advance Payment Bank Guarantee to cover all sums advanced to the applicant including </w:t>
      </w:r>
      <w:r>
        <w:rPr>
          <w:rFonts w:ascii="Times New Roman" w:hAnsi="Times New Roman" w:cs="Times New Roman"/>
          <w:sz w:val="24"/>
          <w:szCs w:val="24"/>
        </w:rPr>
        <w:lastRenderedPageBreak/>
        <w:t xml:space="preserve">pre-commencement works. The offer was made conditional upon the respondent in turn releasing a similar amount. The offer and other related issues were set out in the applicant’s letter to the respondent dated 9 April 2018. The respondent by letter dated 10 April 2018 responded that it could not renew the conditions precedent satisfaction period as there was no provision for a further extension </w:t>
      </w:r>
      <w:r w:rsidR="0035765D">
        <w:rPr>
          <w:rFonts w:ascii="Times New Roman" w:hAnsi="Times New Roman" w:cs="Times New Roman"/>
          <w:sz w:val="24"/>
          <w:szCs w:val="24"/>
        </w:rPr>
        <w:t xml:space="preserve">beyond </w:t>
      </w:r>
      <w:r>
        <w:rPr>
          <w:rFonts w:ascii="Times New Roman" w:hAnsi="Times New Roman" w:cs="Times New Roman"/>
          <w:sz w:val="24"/>
          <w:szCs w:val="24"/>
        </w:rPr>
        <w:t>23 April 2018</w:t>
      </w:r>
      <w:r w:rsidR="0035765D">
        <w:rPr>
          <w:rFonts w:ascii="Times New Roman" w:hAnsi="Times New Roman" w:cs="Times New Roman"/>
          <w:sz w:val="24"/>
          <w:szCs w:val="24"/>
        </w:rPr>
        <w:t>. Even assuming for argument purposes that the extension to 23 April, 2018</w:t>
      </w:r>
      <w:r>
        <w:rPr>
          <w:rFonts w:ascii="Times New Roman" w:hAnsi="Times New Roman" w:cs="Times New Roman"/>
          <w:sz w:val="24"/>
          <w:szCs w:val="24"/>
        </w:rPr>
        <w:t xml:space="preserve"> was valid, the respondent misinterpreted the contract in regard to whether the contract periods could be extended. In terms of clause 6, the contract could be amended by written document executed by the parties. There is nothing in the wording of clause 5 to indicate that an amendment could not touch on the further extension of the period for satisfying conditions precedent by the party obligated to. It would under the circumstances  be justifiable to hold that whilst the applicant used its best endeavours to ensure the satisfaction of the conditions precedent, the respondent was wanting in this regard.</w:t>
      </w:r>
    </w:p>
    <w:p w:rsidR="00BF620D" w:rsidRPr="002B7043" w:rsidRDefault="00BF620D" w:rsidP="00BF620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applicant averred that the respondent used unorthodox means or extra contractual measures to frustrate it from fulfilling the conditions precedent by causing the arrest of the applicant and its managing director on trumped up charges of fraud arising out of the applicant’s performance of its obligations on 12 December 2017. The charges were alleged</w:t>
      </w:r>
      <w:r w:rsidR="00017A7B">
        <w:rPr>
          <w:rFonts w:ascii="Times New Roman" w:hAnsi="Times New Roman" w:cs="Times New Roman"/>
          <w:sz w:val="24"/>
          <w:szCs w:val="24"/>
        </w:rPr>
        <w:t>ly</w:t>
      </w:r>
      <w:r>
        <w:rPr>
          <w:rFonts w:ascii="Times New Roman" w:hAnsi="Times New Roman" w:cs="Times New Roman"/>
          <w:sz w:val="24"/>
          <w:szCs w:val="24"/>
        </w:rPr>
        <w:t xml:space="preserve"> filed at a t</w:t>
      </w:r>
      <w:r w:rsidRPr="002B7043">
        <w:rPr>
          <w:rFonts w:ascii="Times New Roman" w:hAnsi="Times New Roman" w:cs="Times New Roman"/>
          <w:sz w:val="24"/>
          <w:szCs w:val="24"/>
        </w:rPr>
        <w:t>ime that the parties had executed the addendum to the contract agreement. In other words so far as the respondent was concerned the contractual relationship between the parties was extant. The applicant deposed that the filing of the criminal charges was intended not just to criminali</w:t>
      </w:r>
      <w:r w:rsidR="00017A7B">
        <w:rPr>
          <w:rFonts w:ascii="Times New Roman" w:hAnsi="Times New Roman" w:cs="Times New Roman"/>
          <w:sz w:val="24"/>
          <w:szCs w:val="24"/>
        </w:rPr>
        <w:t>z</w:t>
      </w:r>
      <w:r w:rsidRPr="002B7043">
        <w:rPr>
          <w:rFonts w:ascii="Times New Roman" w:hAnsi="Times New Roman" w:cs="Times New Roman"/>
          <w:sz w:val="24"/>
          <w:szCs w:val="24"/>
        </w:rPr>
        <w:t>e contractual disputes but to frustrate the applicant from carrying out its contractual obligations and was a pre-emptive action that would ensure that the applicant would fail to meet the time lines for performance of the pre-commencement works as per addendum to the contract</w:t>
      </w:r>
      <w:r w:rsidR="00017A7B">
        <w:rPr>
          <w:rFonts w:ascii="Times New Roman" w:hAnsi="Times New Roman" w:cs="Times New Roman"/>
          <w:sz w:val="24"/>
          <w:szCs w:val="24"/>
        </w:rPr>
        <w:t>. It argued</w:t>
      </w:r>
      <w:r w:rsidRPr="002B7043">
        <w:rPr>
          <w:rFonts w:ascii="Times New Roman" w:hAnsi="Times New Roman" w:cs="Times New Roman"/>
          <w:sz w:val="24"/>
          <w:szCs w:val="24"/>
        </w:rPr>
        <w:t xml:space="preserve"> that the respondent’s conduct could not be divorced from its deliberate neglect or refusal to pay sub-contracts who demobilized from site for nonpayment.</w:t>
      </w:r>
    </w:p>
    <w:p w:rsidR="00BF620D" w:rsidRDefault="00BF620D" w:rsidP="00BF620D">
      <w:pPr>
        <w:spacing w:after="0" w:line="360" w:lineRule="auto"/>
        <w:jc w:val="both"/>
        <w:rPr>
          <w:rFonts w:ascii="Times New Roman" w:hAnsi="Times New Roman" w:cs="Times New Roman"/>
          <w:sz w:val="24"/>
          <w:szCs w:val="24"/>
        </w:rPr>
      </w:pPr>
      <w:r w:rsidRPr="002B7043">
        <w:rPr>
          <w:rFonts w:ascii="Times New Roman" w:hAnsi="Times New Roman" w:cs="Times New Roman"/>
          <w:sz w:val="24"/>
          <w:szCs w:val="24"/>
        </w:rPr>
        <w:tab/>
      </w:r>
      <w:r>
        <w:rPr>
          <w:rFonts w:ascii="Times New Roman" w:hAnsi="Times New Roman" w:cs="Times New Roman"/>
          <w:sz w:val="24"/>
          <w:szCs w:val="24"/>
        </w:rPr>
        <w:t>The respondent emphatically denied that it engineer</w:t>
      </w:r>
      <w:r w:rsidR="00017A7B">
        <w:rPr>
          <w:rFonts w:ascii="Times New Roman" w:hAnsi="Times New Roman" w:cs="Times New Roman"/>
          <w:sz w:val="24"/>
          <w:szCs w:val="24"/>
        </w:rPr>
        <w:t>ed</w:t>
      </w:r>
      <w:r>
        <w:rPr>
          <w:rFonts w:ascii="Times New Roman" w:hAnsi="Times New Roman" w:cs="Times New Roman"/>
          <w:sz w:val="24"/>
          <w:szCs w:val="24"/>
        </w:rPr>
        <w:t xml:space="preserve"> or cause</w:t>
      </w:r>
      <w:r w:rsidR="00017A7B">
        <w:rPr>
          <w:rFonts w:ascii="Times New Roman" w:hAnsi="Times New Roman" w:cs="Times New Roman"/>
          <w:sz w:val="24"/>
          <w:szCs w:val="24"/>
        </w:rPr>
        <w:t>d</w:t>
      </w:r>
      <w:r>
        <w:rPr>
          <w:rFonts w:ascii="Times New Roman" w:hAnsi="Times New Roman" w:cs="Times New Roman"/>
          <w:sz w:val="24"/>
          <w:szCs w:val="24"/>
        </w:rPr>
        <w:t xml:space="preserve"> the applicant and its managing director’s arrest. It deposed that the applicant did not file any criminal complaint with the police. Mr </w:t>
      </w:r>
      <w:r w:rsidRPr="002B7043">
        <w:rPr>
          <w:rFonts w:ascii="Times New Roman" w:hAnsi="Times New Roman" w:cs="Times New Roman"/>
          <w:i/>
          <w:sz w:val="24"/>
          <w:szCs w:val="24"/>
        </w:rPr>
        <w:t xml:space="preserve">Uriri </w:t>
      </w:r>
      <w:r>
        <w:rPr>
          <w:rFonts w:ascii="Times New Roman" w:hAnsi="Times New Roman" w:cs="Times New Roman"/>
          <w:sz w:val="24"/>
          <w:szCs w:val="24"/>
        </w:rPr>
        <w:t xml:space="preserve">for the applicant argued that it was a matter of public record that the complainant in the criminal case which the applicant and its managing director are facing is given as the respondent. He argued that it was common cause that this court in a judgment by </w:t>
      </w:r>
      <w:r w:rsidRPr="002B7043">
        <w:rPr>
          <w:rFonts w:ascii="Times New Roman" w:hAnsi="Times New Roman" w:cs="Times New Roman"/>
          <w:smallCaps/>
          <w:sz w:val="24"/>
          <w:szCs w:val="24"/>
        </w:rPr>
        <w:t>Chikowero J</w:t>
      </w:r>
      <w:r>
        <w:rPr>
          <w:rFonts w:ascii="Times New Roman" w:hAnsi="Times New Roman" w:cs="Times New Roman"/>
          <w:sz w:val="24"/>
          <w:szCs w:val="24"/>
        </w:rPr>
        <w:t xml:space="preserve"> delivered in case no B1118/18 </w:t>
      </w:r>
      <w:r w:rsidR="00017A7B">
        <w:rPr>
          <w:rFonts w:ascii="Times New Roman" w:hAnsi="Times New Roman" w:cs="Times New Roman"/>
          <w:sz w:val="24"/>
          <w:szCs w:val="24"/>
        </w:rPr>
        <w:t xml:space="preserve">on 10 August, 2018 </w:t>
      </w:r>
      <w:r>
        <w:rPr>
          <w:rFonts w:ascii="Times New Roman" w:hAnsi="Times New Roman" w:cs="Times New Roman"/>
          <w:sz w:val="24"/>
          <w:szCs w:val="24"/>
        </w:rPr>
        <w:t xml:space="preserve">had expressed itself that the </w:t>
      </w:r>
      <w:r>
        <w:rPr>
          <w:rFonts w:ascii="Times New Roman" w:hAnsi="Times New Roman" w:cs="Times New Roman"/>
          <w:sz w:val="24"/>
          <w:szCs w:val="24"/>
        </w:rPr>
        <w:lastRenderedPageBreak/>
        <w:t>criminal allegations made against the applicant and its managing director were very weak. Obviously in this respect the learned judge relied on the facts before him. Whether further investigations would reveal stronger evidence was and is beyond the jurisdiction and ability of this court to determine. However, for purposes of this case, the issue of the veracity of the criminal case does not deta</w:t>
      </w:r>
      <w:r w:rsidR="00017A7B">
        <w:rPr>
          <w:rFonts w:ascii="Times New Roman" w:hAnsi="Times New Roman" w:cs="Times New Roman"/>
          <w:sz w:val="24"/>
          <w:szCs w:val="24"/>
        </w:rPr>
        <w:t>in</w:t>
      </w:r>
      <w:r>
        <w:rPr>
          <w:rFonts w:ascii="Times New Roman" w:hAnsi="Times New Roman" w:cs="Times New Roman"/>
          <w:sz w:val="24"/>
          <w:szCs w:val="24"/>
        </w:rPr>
        <w:t xml:space="preserve"> the court. What concerns the court is the respondent’s denial that it had anything to do with the arrest of the applicant and its managing director. The denial is telling and has ramifications because it then leads to the conclusion that a third force, the </w:t>
      </w:r>
      <w:r w:rsidR="00017A7B">
        <w:rPr>
          <w:rFonts w:ascii="Times New Roman" w:hAnsi="Times New Roman" w:cs="Times New Roman"/>
          <w:sz w:val="24"/>
          <w:szCs w:val="24"/>
        </w:rPr>
        <w:t xml:space="preserve">Police which is an organ of the State </w:t>
      </w:r>
      <w:r>
        <w:rPr>
          <w:rFonts w:ascii="Times New Roman" w:hAnsi="Times New Roman" w:cs="Times New Roman"/>
          <w:sz w:val="24"/>
          <w:szCs w:val="24"/>
        </w:rPr>
        <w:t xml:space="preserve">frustrated the contractual relationship between the parties. Mr </w:t>
      </w:r>
      <w:r w:rsidRPr="00531D9A">
        <w:rPr>
          <w:rFonts w:ascii="Times New Roman" w:hAnsi="Times New Roman" w:cs="Times New Roman"/>
          <w:i/>
          <w:sz w:val="24"/>
          <w:szCs w:val="24"/>
        </w:rPr>
        <w:t>Manjengwa</w:t>
      </w:r>
      <w:r>
        <w:rPr>
          <w:rFonts w:ascii="Times New Roman" w:hAnsi="Times New Roman" w:cs="Times New Roman"/>
          <w:sz w:val="24"/>
          <w:szCs w:val="24"/>
        </w:rPr>
        <w:t xml:space="preserve"> after asking for time to peruse the case record B1118/18 submitted that it was inappropriate to make reference to that record because the respondent was not represented. The hairsplitting argument does not require much debate because the court is entitled to refer to its own records. The complainant  in the criminal case was given as the respondent represented by one Thandiwe Thando Mlobane as Chairperson of the Finance Committee of the respondent. </w:t>
      </w:r>
      <w:r w:rsidR="00017A7B">
        <w:rPr>
          <w:rFonts w:ascii="Times New Roman" w:hAnsi="Times New Roman" w:cs="Times New Roman"/>
          <w:sz w:val="24"/>
          <w:szCs w:val="24"/>
        </w:rPr>
        <w:t>S</w:t>
      </w:r>
      <w:r>
        <w:rPr>
          <w:rFonts w:ascii="Times New Roman" w:hAnsi="Times New Roman" w:cs="Times New Roman"/>
          <w:sz w:val="24"/>
          <w:szCs w:val="24"/>
        </w:rPr>
        <w:t>he purported from the outlined facts that she was acting under a board resolution to represent the respondent company. The court thus found the respondent</w:t>
      </w:r>
      <w:r w:rsidR="00017A7B">
        <w:rPr>
          <w:rFonts w:ascii="Times New Roman" w:hAnsi="Times New Roman" w:cs="Times New Roman"/>
          <w:sz w:val="24"/>
          <w:szCs w:val="24"/>
        </w:rPr>
        <w:t>’s</w:t>
      </w:r>
      <w:r>
        <w:rPr>
          <w:rFonts w:ascii="Times New Roman" w:hAnsi="Times New Roman" w:cs="Times New Roman"/>
          <w:sz w:val="24"/>
          <w:szCs w:val="24"/>
        </w:rPr>
        <w:t xml:space="preserve"> denial that it had anything to do with the arrest of the applicant and its managing director to be glaringly and palpably false. To the extent however that the deponent to the opposing affidavit, Patrick Farai Chivaura as managing director denies that the</w:t>
      </w:r>
      <w:r w:rsidR="00017A7B">
        <w:rPr>
          <w:rFonts w:ascii="Times New Roman" w:hAnsi="Times New Roman" w:cs="Times New Roman"/>
          <w:sz w:val="24"/>
          <w:szCs w:val="24"/>
        </w:rPr>
        <w:t xml:space="preserve"> respondent </w:t>
      </w:r>
      <w:r>
        <w:rPr>
          <w:rFonts w:ascii="Times New Roman" w:hAnsi="Times New Roman" w:cs="Times New Roman"/>
          <w:sz w:val="24"/>
          <w:szCs w:val="24"/>
        </w:rPr>
        <w:t xml:space="preserve">filed any charges as alleged, then the operational situation at the applicant’s enterprise present an intrigue </w:t>
      </w:r>
      <w:r w:rsidR="00017A7B">
        <w:rPr>
          <w:rFonts w:ascii="Times New Roman" w:hAnsi="Times New Roman" w:cs="Times New Roman"/>
          <w:sz w:val="24"/>
          <w:szCs w:val="24"/>
        </w:rPr>
        <w:t xml:space="preserve">or source of fascination </w:t>
      </w:r>
      <w:r>
        <w:rPr>
          <w:rFonts w:ascii="Times New Roman" w:hAnsi="Times New Roman" w:cs="Times New Roman"/>
          <w:sz w:val="24"/>
          <w:szCs w:val="24"/>
        </w:rPr>
        <w:t>in that the Board and the Managing Director were not at one as to the goings on.</w:t>
      </w:r>
    </w:p>
    <w:p w:rsidR="00ED0486" w:rsidRDefault="00BF620D" w:rsidP="00ED04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applicant’s managing director’s depositions in paragraph</w:t>
      </w:r>
      <w:r w:rsidR="00ED0486">
        <w:rPr>
          <w:rFonts w:ascii="Times New Roman" w:hAnsi="Times New Roman" w:cs="Times New Roman"/>
          <w:sz w:val="24"/>
          <w:szCs w:val="24"/>
        </w:rPr>
        <w:t xml:space="preserve"> 43 of the opposing affidavit contradicts his denial that the respondent filed criminal charges complained of. He approbates and reprobates at the same time because whilst denying that criminal charges were filed by him or the respondent, he posits that the  respondent would, had it filed criminal charges have been justified to do allege fraud because the applicant had represented that it </w:t>
      </w:r>
      <w:r w:rsidR="00017A7B">
        <w:rPr>
          <w:rFonts w:ascii="Times New Roman" w:hAnsi="Times New Roman" w:cs="Times New Roman"/>
          <w:sz w:val="24"/>
          <w:szCs w:val="24"/>
        </w:rPr>
        <w:t xml:space="preserve"> would </w:t>
      </w:r>
      <w:r w:rsidR="00ED0486">
        <w:rPr>
          <w:rFonts w:ascii="Times New Roman" w:hAnsi="Times New Roman" w:cs="Times New Roman"/>
          <w:sz w:val="24"/>
          <w:szCs w:val="24"/>
        </w:rPr>
        <w:t>procure an advance payment guarantee but did not do so as at the date of “such complaint.” He then deposes that the respondent chose not to report or file criminal charges. He does not say why the respondent resolved not to report. The contradictions in the respondents’ depositions are telling and dent the credibility of</w:t>
      </w:r>
      <w:r w:rsidR="00017A7B">
        <w:rPr>
          <w:rFonts w:ascii="Times New Roman" w:hAnsi="Times New Roman" w:cs="Times New Roman"/>
          <w:sz w:val="24"/>
          <w:szCs w:val="24"/>
        </w:rPr>
        <w:t xml:space="preserve"> the managing directors’</w:t>
      </w:r>
      <w:r w:rsidR="00ED0486">
        <w:rPr>
          <w:rFonts w:ascii="Times New Roman" w:hAnsi="Times New Roman" w:cs="Times New Roman"/>
          <w:sz w:val="24"/>
          <w:szCs w:val="24"/>
        </w:rPr>
        <w:t xml:space="preserve"> evidence in </w:t>
      </w:r>
      <w:r w:rsidR="00017A7B">
        <w:rPr>
          <w:rFonts w:ascii="Times New Roman" w:hAnsi="Times New Roman" w:cs="Times New Roman"/>
          <w:sz w:val="24"/>
          <w:szCs w:val="24"/>
        </w:rPr>
        <w:t>t</w:t>
      </w:r>
      <w:r w:rsidR="00ED0486">
        <w:rPr>
          <w:rFonts w:ascii="Times New Roman" w:hAnsi="Times New Roman" w:cs="Times New Roman"/>
          <w:sz w:val="24"/>
          <w:szCs w:val="24"/>
        </w:rPr>
        <w:t xml:space="preserve">his regard. The probabilities of the case tend to support the applicant’s contention that the respondent caused its arrest and that </w:t>
      </w:r>
      <w:r w:rsidR="00ED0486">
        <w:rPr>
          <w:rFonts w:ascii="Times New Roman" w:hAnsi="Times New Roman" w:cs="Times New Roman"/>
          <w:sz w:val="24"/>
          <w:szCs w:val="24"/>
        </w:rPr>
        <w:lastRenderedPageBreak/>
        <w:t xml:space="preserve">of its managing director. The prosecution documents indicate that the Police C.I.D Commercial Crimes Division acted on a complaint filed by the respondent represented by </w:t>
      </w:r>
      <w:r w:rsidR="00017A7B">
        <w:rPr>
          <w:rFonts w:ascii="Times New Roman" w:hAnsi="Times New Roman" w:cs="Times New Roman"/>
          <w:sz w:val="24"/>
          <w:szCs w:val="24"/>
        </w:rPr>
        <w:t>the Chairperson of the Finance Committee of the Board as already observed.</w:t>
      </w:r>
    </w:p>
    <w:p w:rsidR="00ED0486" w:rsidRDefault="00ED0486" w:rsidP="00ED04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What is however mind boggling is that the criminal allegations against the applicant and its managing director that they defrauded the respondent of USD$5 624 607-60 in payments for work not done directly contradict the addendum to the contract produced before this  court on oath</w:t>
      </w:r>
      <w:r w:rsidR="00017A7B">
        <w:rPr>
          <w:rFonts w:ascii="Times New Roman" w:hAnsi="Times New Roman" w:cs="Times New Roman"/>
          <w:sz w:val="24"/>
          <w:szCs w:val="24"/>
        </w:rPr>
        <w:t>. The allegations also contradict</w:t>
      </w:r>
      <w:r>
        <w:rPr>
          <w:rFonts w:ascii="Times New Roman" w:hAnsi="Times New Roman" w:cs="Times New Roman"/>
          <w:sz w:val="24"/>
          <w:szCs w:val="24"/>
        </w:rPr>
        <w:t xml:space="preserve"> the respondents managing directors’ deposition that work was done but had not been completed. The addendum also clearly shows that a further amount was due to sub-contractors employed by the applicant.</w:t>
      </w:r>
      <w:r w:rsidR="00017A7B">
        <w:rPr>
          <w:rFonts w:ascii="Times New Roman" w:hAnsi="Times New Roman" w:cs="Times New Roman"/>
          <w:sz w:val="24"/>
          <w:szCs w:val="24"/>
        </w:rPr>
        <w:t xml:space="preserve"> The fraud is at least on the facts before this court difficult to fathom.</w:t>
      </w:r>
    </w:p>
    <w:p w:rsidR="00ED0486" w:rsidRDefault="00ED0486" w:rsidP="00ED04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form 242 on which the applicant and its managing director were brought before the Criminal Court in CRB 9114-5/18 alleged that there was an accomplice involved</w:t>
      </w:r>
      <w:r w:rsidR="003834B9">
        <w:rPr>
          <w:rFonts w:ascii="Times New Roman" w:hAnsi="Times New Roman" w:cs="Times New Roman"/>
          <w:sz w:val="24"/>
          <w:szCs w:val="24"/>
        </w:rPr>
        <w:t>,</w:t>
      </w:r>
      <w:r>
        <w:rPr>
          <w:rFonts w:ascii="Times New Roman" w:hAnsi="Times New Roman" w:cs="Times New Roman"/>
          <w:sz w:val="24"/>
          <w:szCs w:val="24"/>
        </w:rPr>
        <w:t xml:space="preserve"> being the Minister of Energy and Power Development Samuel Undenge </w:t>
      </w:r>
      <w:r w:rsidR="003834B9">
        <w:rPr>
          <w:rFonts w:ascii="Times New Roman" w:hAnsi="Times New Roman" w:cs="Times New Roman"/>
          <w:sz w:val="24"/>
          <w:szCs w:val="24"/>
        </w:rPr>
        <w:t xml:space="preserve">who was </w:t>
      </w:r>
      <w:r>
        <w:rPr>
          <w:rFonts w:ascii="Times New Roman" w:hAnsi="Times New Roman" w:cs="Times New Roman"/>
          <w:sz w:val="24"/>
          <w:szCs w:val="24"/>
        </w:rPr>
        <w:t>still to be arrested. It was alleged that the Minister had corruptly interfered in the tender process and directed the respondent’s accounting officer Noah Gwa</w:t>
      </w:r>
      <w:r w:rsidR="003834B9">
        <w:rPr>
          <w:rFonts w:ascii="Times New Roman" w:hAnsi="Times New Roman" w:cs="Times New Roman"/>
          <w:sz w:val="24"/>
          <w:szCs w:val="24"/>
        </w:rPr>
        <w:t>r</w:t>
      </w:r>
      <w:r>
        <w:rPr>
          <w:rFonts w:ascii="Times New Roman" w:hAnsi="Times New Roman" w:cs="Times New Roman"/>
          <w:sz w:val="24"/>
          <w:szCs w:val="24"/>
        </w:rPr>
        <w:t>iro to award the contract, (the subject of this application) to the applicant. The applicant in his application does not however raise any issues on the procurement process and the validity of the contract. At best it raises issues of its lapsing. The court cannot therefore reconcile the contradictions arising in the matter. What is however clear is that the contract and its performance</w:t>
      </w:r>
      <w:r w:rsidR="003834B9">
        <w:rPr>
          <w:rFonts w:ascii="Times New Roman" w:hAnsi="Times New Roman" w:cs="Times New Roman"/>
          <w:sz w:val="24"/>
          <w:szCs w:val="24"/>
        </w:rPr>
        <w:t xml:space="preserve"> as averred by the applicant, </w:t>
      </w:r>
      <w:r>
        <w:rPr>
          <w:rFonts w:ascii="Times New Roman" w:hAnsi="Times New Roman" w:cs="Times New Roman"/>
          <w:sz w:val="24"/>
          <w:szCs w:val="24"/>
        </w:rPr>
        <w:t>was interfered with by the arrest of the applicant and its managing director at the instance of the respondent acting through or being represented by its Board Member, Thandiwe Thando Mlobane. As already indicated however, the success or otherwise of the criminal prosecution is a matter for the criminal court. That said, the duplicity of the conduct of the respondent in causing the arrest of its contracting partner and denying so in this court has been amply demonstrated</w:t>
      </w:r>
      <w:r w:rsidR="003834B9">
        <w:rPr>
          <w:rFonts w:ascii="Times New Roman" w:hAnsi="Times New Roman" w:cs="Times New Roman"/>
          <w:sz w:val="24"/>
          <w:szCs w:val="24"/>
        </w:rPr>
        <w:t xml:space="preserve"> and smacks of </w:t>
      </w:r>
      <w:r w:rsidR="003834B9" w:rsidRPr="003834B9">
        <w:rPr>
          <w:rFonts w:ascii="Times New Roman" w:hAnsi="Times New Roman" w:cs="Times New Roman"/>
          <w:i/>
          <w:sz w:val="24"/>
          <w:szCs w:val="24"/>
        </w:rPr>
        <w:t>mala fides</w:t>
      </w:r>
      <w:r w:rsidR="003834B9">
        <w:rPr>
          <w:rFonts w:ascii="Times New Roman" w:hAnsi="Times New Roman" w:cs="Times New Roman"/>
          <w:sz w:val="24"/>
          <w:szCs w:val="24"/>
        </w:rPr>
        <w:t xml:space="preserve"> or bad faith</w:t>
      </w:r>
      <w:r>
        <w:rPr>
          <w:rFonts w:ascii="Times New Roman" w:hAnsi="Times New Roman" w:cs="Times New Roman"/>
          <w:sz w:val="24"/>
          <w:szCs w:val="24"/>
        </w:rPr>
        <w:t xml:space="preserve">. If one must accept the </w:t>
      </w:r>
      <w:r w:rsidR="003834B9">
        <w:rPr>
          <w:rFonts w:ascii="Times New Roman" w:hAnsi="Times New Roman" w:cs="Times New Roman"/>
          <w:sz w:val="24"/>
          <w:szCs w:val="24"/>
        </w:rPr>
        <w:t>respondent</w:t>
      </w:r>
      <w:r>
        <w:rPr>
          <w:rFonts w:ascii="Times New Roman" w:hAnsi="Times New Roman" w:cs="Times New Roman"/>
          <w:sz w:val="24"/>
          <w:szCs w:val="24"/>
        </w:rPr>
        <w:t xml:space="preserve">’s managing director’s denial that the </w:t>
      </w:r>
      <w:r w:rsidR="003834B9">
        <w:rPr>
          <w:rFonts w:ascii="Times New Roman" w:hAnsi="Times New Roman" w:cs="Times New Roman"/>
          <w:sz w:val="24"/>
          <w:szCs w:val="24"/>
        </w:rPr>
        <w:t xml:space="preserve">respondent </w:t>
      </w:r>
      <w:r>
        <w:rPr>
          <w:rFonts w:ascii="Times New Roman" w:hAnsi="Times New Roman" w:cs="Times New Roman"/>
          <w:sz w:val="24"/>
          <w:szCs w:val="24"/>
        </w:rPr>
        <w:t xml:space="preserve">filed the criminal report, then the inescapable probability is that there is discord within the </w:t>
      </w:r>
      <w:r w:rsidR="006A3624">
        <w:rPr>
          <w:rFonts w:ascii="Times New Roman" w:hAnsi="Times New Roman" w:cs="Times New Roman"/>
          <w:sz w:val="24"/>
          <w:szCs w:val="24"/>
        </w:rPr>
        <w:t xml:space="preserve">respondent company </w:t>
      </w:r>
      <w:r>
        <w:rPr>
          <w:rFonts w:ascii="Times New Roman" w:hAnsi="Times New Roman" w:cs="Times New Roman"/>
          <w:sz w:val="24"/>
          <w:szCs w:val="24"/>
        </w:rPr>
        <w:t xml:space="preserve"> in that the Board says one thing and the Management a different thing.   </w:t>
      </w:r>
    </w:p>
    <w:p w:rsidR="00ED0486" w:rsidRPr="00944940" w:rsidRDefault="00ED0486" w:rsidP="00ED0486">
      <w:pPr>
        <w:spacing w:after="0" w:line="360" w:lineRule="auto"/>
        <w:jc w:val="both"/>
        <w:rPr>
          <w:rFonts w:ascii="Times New Roman" w:hAnsi="Times New Roman" w:cs="Times New Roman"/>
          <w:sz w:val="24"/>
          <w:szCs w:val="24"/>
        </w:rPr>
      </w:pPr>
      <w:r>
        <w:tab/>
      </w:r>
      <w:r w:rsidRPr="00944940">
        <w:rPr>
          <w:rFonts w:ascii="Times New Roman" w:hAnsi="Times New Roman" w:cs="Times New Roman"/>
          <w:sz w:val="24"/>
          <w:szCs w:val="24"/>
        </w:rPr>
        <w:t>The applicant averred as well that its ability to complete the pre-commencement works on time was hamstrung by the respondent’s failure to obtain an Environmental a</w:t>
      </w:r>
      <w:r w:rsidR="003834B9">
        <w:rPr>
          <w:rFonts w:ascii="Times New Roman" w:hAnsi="Times New Roman" w:cs="Times New Roman"/>
          <w:sz w:val="24"/>
          <w:szCs w:val="24"/>
        </w:rPr>
        <w:t>n</w:t>
      </w:r>
      <w:r w:rsidRPr="00944940">
        <w:rPr>
          <w:rFonts w:ascii="Times New Roman" w:hAnsi="Times New Roman" w:cs="Times New Roman"/>
          <w:sz w:val="24"/>
          <w:szCs w:val="24"/>
        </w:rPr>
        <w:t xml:space="preserve">d </w:t>
      </w:r>
      <w:r w:rsidR="00BB24B3">
        <w:rPr>
          <w:rFonts w:ascii="Times New Roman" w:hAnsi="Times New Roman" w:cs="Times New Roman"/>
          <w:sz w:val="24"/>
          <w:szCs w:val="24"/>
        </w:rPr>
        <w:t>S</w:t>
      </w:r>
      <w:r w:rsidRPr="00944940">
        <w:rPr>
          <w:rFonts w:ascii="Times New Roman" w:hAnsi="Times New Roman" w:cs="Times New Roman"/>
          <w:sz w:val="24"/>
          <w:szCs w:val="24"/>
        </w:rPr>
        <w:t>o</w:t>
      </w:r>
      <w:r w:rsidR="003834B9">
        <w:rPr>
          <w:rFonts w:ascii="Times New Roman" w:hAnsi="Times New Roman" w:cs="Times New Roman"/>
          <w:sz w:val="24"/>
          <w:szCs w:val="24"/>
        </w:rPr>
        <w:t>cia</w:t>
      </w:r>
      <w:r w:rsidRPr="00944940">
        <w:rPr>
          <w:rFonts w:ascii="Times New Roman" w:hAnsi="Times New Roman" w:cs="Times New Roman"/>
          <w:sz w:val="24"/>
          <w:szCs w:val="24"/>
        </w:rPr>
        <w:t xml:space="preserve">l </w:t>
      </w:r>
      <w:r>
        <w:rPr>
          <w:rFonts w:ascii="Times New Roman" w:hAnsi="Times New Roman" w:cs="Times New Roman"/>
          <w:sz w:val="24"/>
          <w:szCs w:val="24"/>
        </w:rPr>
        <w:t>I</w:t>
      </w:r>
      <w:r w:rsidRPr="00944940">
        <w:rPr>
          <w:rFonts w:ascii="Times New Roman" w:hAnsi="Times New Roman" w:cs="Times New Roman"/>
          <w:sz w:val="24"/>
          <w:szCs w:val="24"/>
        </w:rPr>
        <w:t xml:space="preserve">mpact </w:t>
      </w:r>
      <w:r w:rsidRPr="00944940">
        <w:rPr>
          <w:rFonts w:ascii="Times New Roman" w:hAnsi="Times New Roman" w:cs="Times New Roman"/>
          <w:sz w:val="24"/>
          <w:szCs w:val="24"/>
        </w:rPr>
        <w:lastRenderedPageBreak/>
        <w:t xml:space="preserve">Assessment </w:t>
      </w:r>
      <w:r>
        <w:rPr>
          <w:rFonts w:ascii="Times New Roman" w:hAnsi="Times New Roman" w:cs="Times New Roman"/>
          <w:sz w:val="24"/>
          <w:szCs w:val="24"/>
        </w:rPr>
        <w:t>C</w:t>
      </w:r>
      <w:r w:rsidRPr="00944940">
        <w:rPr>
          <w:rFonts w:ascii="Times New Roman" w:hAnsi="Times New Roman" w:cs="Times New Roman"/>
          <w:sz w:val="24"/>
          <w:szCs w:val="24"/>
        </w:rPr>
        <w:t xml:space="preserve">ertificate (ESIA) issued by EMA in terms of s 97 (1) (a) of the Environmental Management Act </w:t>
      </w:r>
      <w:r>
        <w:rPr>
          <w:rFonts w:ascii="Times New Roman" w:hAnsi="Times New Roman" w:cs="Times New Roman"/>
          <w:sz w:val="24"/>
          <w:szCs w:val="24"/>
        </w:rPr>
        <w:t>(</w:t>
      </w:r>
      <w:r w:rsidRPr="00944940">
        <w:rPr>
          <w:rFonts w:ascii="Times New Roman" w:hAnsi="Times New Roman" w:cs="Times New Roman"/>
          <w:i/>
          <w:sz w:val="24"/>
          <w:szCs w:val="24"/>
        </w:rPr>
        <w:t>Chapter 20:27</w:t>
      </w:r>
      <w:r w:rsidRPr="00944940">
        <w:rPr>
          <w:rFonts w:ascii="Times New Roman" w:hAnsi="Times New Roman" w:cs="Times New Roman"/>
          <w:sz w:val="24"/>
          <w:szCs w:val="24"/>
        </w:rPr>
        <w:t xml:space="preserve">). </w:t>
      </w:r>
      <w:r>
        <w:rPr>
          <w:rFonts w:ascii="Times New Roman" w:hAnsi="Times New Roman" w:cs="Times New Roman"/>
          <w:sz w:val="24"/>
          <w:szCs w:val="24"/>
        </w:rPr>
        <w:t>I</w:t>
      </w:r>
      <w:r w:rsidRPr="00944940">
        <w:rPr>
          <w:rFonts w:ascii="Times New Roman" w:hAnsi="Times New Roman" w:cs="Times New Roman"/>
          <w:sz w:val="24"/>
          <w:szCs w:val="24"/>
        </w:rPr>
        <w:t>t is common cause tha</w:t>
      </w:r>
      <w:r>
        <w:rPr>
          <w:rFonts w:ascii="Times New Roman" w:hAnsi="Times New Roman" w:cs="Times New Roman"/>
          <w:sz w:val="24"/>
          <w:szCs w:val="24"/>
        </w:rPr>
        <w:t>t</w:t>
      </w:r>
      <w:r w:rsidRPr="00944940">
        <w:rPr>
          <w:rFonts w:ascii="Times New Roman" w:hAnsi="Times New Roman" w:cs="Times New Roman"/>
          <w:sz w:val="24"/>
          <w:szCs w:val="24"/>
        </w:rPr>
        <w:t xml:space="preserve"> the certificate was only obtained in May, 2017 almost 2 years after the effective date. The respondent however averred that it obtained a provisional certificate on 22 February, 2016. A copy of the so called provisional certificate attached as annexure R 28 to the respondent’s affidavit shows that it is not a certificate at all. It clearly provided that EMA gran</w:t>
      </w:r>
      <w:r>
        <w:rPr>
          <w:rFonts w:ascii="Times New Roman" w:hAnsi="Times New Roman" w:cs="Times New Roman"/>
          <w:sz w:val="24"/>
          <w:szCs w:val="24"/>
        </w:rPr>
        <w:t>t</w:t>
      </w:r>
      <w:r w:rsidRPr="00944940">
        <w:rPr>
          <w:rFonts w:ascii="Times New Roman" w:hAnsi="Times New Roman" w:cs="Times New Roman"/>
          <w:sz w:val="24"/>
          <w:szCs w:val="24"/>
        </w:rPr>
        <w:t>ed permission for access to the site. The grant of the acce</w:t>
      </w:r>
      <w:r>
        <w:rPr>
          <w:rFonts w:ascii="Times New Roman" w:hAnsi="Times New Roman" w:cs="Times New Roman"/>
          <w:sz w:val="24"/>
          <w:szCs w:val="24"/>
        </w:rPr>
        <w:t>s</w:t>
      </w:r>
      <w:r w:rsidRPr="00944940">
        <w:rPr>
          <w:rFonts w:ascii="Times New Roman" w:hAnsi="Times New Roman" w:cs="Times New Roman"/>
          <w:sz w:val="24"/>
          <w:szCs w:val="24"/>
        </w:rPr>
        <w:t>s was for purposes of carrying out the pre-commencement works. The letter provided in part as follows:</w:t>
      </w:r>
    </w:p>
    <w:p w:rsidR="00ED0486" w:rsidRDefault="00ED0486" w:rsidP="00ED0486">
      <w:pPr>
        <w:spacing w:after="0" w:line="240" w:lineRule="auto"/>
        <w:jc w:val="both"/>
        <w:rPr>
          <w:rFonts w:ascii="Times New Roman" w:hAnsi="Times New Roman" w:cs="Times New Roman"/>
        </w:rPr>
      </w:pPr>
      <w:r w:rsidRPr="00944940">
        <w:rPr>
          <w:rFonts w:ascii="Times New Roman" w:hAnsi="Times New Roman" w:cs="Times New Roman"/>
          <w:sz w:val="24"/>
          <w:szCs w:val="24"/>
        </w:rPr>
        <w:tab/>
        <w:t>‘</w:t>
      </w:r>
      <w:r w:rsidRPr="00C55194">
        <w:rPr>
          <w:rFonts w:ascii="Times New Roman" w:hAnsi="Times New Roman" w:cs="Times New Roman"/>
        </w:rPr>
        <w:t>This permission to access the site is granted as per EPC contract, ZPC 304/15 under clause 2.1 (right of acce</w:t>
      </w:r>
      <w:r>
        <w:rPr>
          <w:rFonts w:ascii="Times New Roman" w:hAnsi="Times New Roman" w:cs="Times New Roman"/>
        </w:rPr>
        <w:t>s</w:t>
      </w:r>
      <w:r w:rsidRPr="00C55194">
        <w:rPr>
          <w:rFonts w:ascii="Times New Roman" w:hAnsi="Times New Roman" w:cs="Times New Roman"/>
        </w:rPr>
        <w:t>s t</w:t>
      </w:r>
      <w:r>
        <w:rPr>
          <w:rFonts w:ascii="Times New Roman" w:hAnsi="Times New Roman" w:cs="Times New Roman"/>
        </w:rPr>
        <w:t>o</w:t>
      </w:r>
      <w:r w:rsidRPr="00C55194">
        <w:rPr>
          <w:rFonts w:ascii="Times New Roman" w:hAnsi="Times New Roman" w:cs="Times New Roman"/>
        </w:rPr>
        <w:t xml:space="preserve"> the site).”</w:t>
      </w:r>
    </w:p>
    <w:p w:rsidR="00ED0486" w:rsidRPr="00C55194" w:rsidRDefault="00ED0486" w:rsidP="00ED0486">
      <w:pPr>
        <w:spacing w:after="0" w:line="240" w:lineRule="auto"/>
        <w:jc w:val="both"/>
        <w:rPr>
          <w:rFonts w:ascii="Times New Roman" w:hAnsi="Times New Roman" w:cs="Times New Roman"/>
        </w:rPr>
      </w:pPr>
    </w:p>
    <w:p w:rsidR="00ED0486" w:rsidRPr="00944940" w:rsidRDefault="00ED0486" w:rsidP="00ED0486">
      <w:pPr>
        <w:spacing w:after="0" w:line="360" w:lineRule="auto"/>
        <w:jc w:val="both"/>
        <w:rPr>
          <w:rFonts w:ascii="Times New Roman" w:hAnsi="Times New Roman" w:cs="Times New Roman"/>
          <w:sz w:val="24"/>
          <w:szCs w:val="24"/>
        </w:rPr>
      </w:pPr>
      <w:r w:rsidRPr="00944940">
        <w:rPr>
          <w:rFonts w:ascii="Times New Roman" w:hAnsi="Times New Roman" w:cs="Times New Roman"/>
          <w:sz w:val="24"/>
          <w:szCs w:val="24"/>
        </w:rPr>
        <w:tab/>
        <w:t>If one considers clause 2.1 of the conditi</w:t>
      </w:r>
      <w:r>
        <w:rPr>
          <w:rFonts w:ascii="Times New Roman" w:hAnsi="Times New Roman" w:cs="Times New Roman"/>
          <w:sz w:val="24"/>
          <w:szCs w:val="24"/>
        </w:rPr>
        <w:t>o</w:t>
      </w:r>
      <w:r w:rsidRPr="00944940">
        <w:rPr>
          <w:rFonts w:ascii="Times New Roman" w:hAnsi="Times New Roman" w:cs="Times New Roman"/>
          <w:sz w:val="24"/>
          <w:szCs w:val="24"/>
        </w:rPr>
        <w:t>ns of contract</w:t>
      </w:r>
      <w:r w:rsidR="003834B9">
        <w:rPr>
          <w:rFonts w:ascii="Times New Roman" w:hAnsi="Times New Roman" w:cs="Times New Roman"/>
          <w:sz w:val="24"/>
          <w:szCs w:val="24"/>
        </w:rPr>
        <w:t xml:space="preserve">, the clause </w:t>
      </w:r>
      <w:r w:rsidRPr="00944940">
        <w:rPr>
          <w:rFonts w:ascii="Times New Roman" w:hAnsi="Times New Roman" w:cs="Times New Roman"/>
          <w:sz w:val="24"/>
          <w:szCs w:val="24"/>
        </w:rPr>
        <w:t>obligated the respondent to give access and possession of the site to the applicant 21 days before the commencement date.</w:t>
      </w:r>
    </w:p>
    <w:p w:rsidR="00ED0486" w:rsidRPr="00944940" w:rsidRDefault="00ED0486" w:rsidP="00ED0486">
      <w:pPr>
        <w:spacing w:after="0" w:line="360" w:lineRule="auto"/>
        <w:jc w:val="both"/>
        <w:rPr>
          <w:rFonts w:ascii="Times New Roman" w:hAnsi="Times New Roman" w:cs="Times New Roman"/>
          <w:sz w:val="24"/>
          <w:szCs w:val="24"/>
        </w:rPr>
      </w:pPr>
      <w:r w:rsidRPr="00944940">
        <w:rPr>
          <w:rFonts w:ascii="Times New Roman" w:hAnsi="Times New Roman" w:cs="Times New Roman"/>
          <w:sz w:val="24"/>
          <w:szCs w:val="24"/>
        </w:rPr>
        <w:tab/>
      </w:r>
      <w:r>
        <w:rPr>
          <w:rFonts w:ascii="Times New Roman" w:hAnsi="Times New Roman" w:cs="Times New Roman"/>
          <w:sz w:val="24"/>
          <w:szCs w:val="24"/>
        </w:rPr>
        <w:t>I</w:t>
      </w:r>
      <w:r w:rsidRPr="00944940">
        <w:rPr>
          <w:rFonts w:ascii="Times New Roman" w:hAnsi="Times New Roman" w:cs="Times New Roman"/>
          <w:sz w:val="24"/>
          <w:szCs w:val="24"/>
        </w:rPr>
        <w:t xml:space="preserve">t is therefore not correct to say that the </w:t>
      </w:r>
      <w:r w:rsidR="003834B9">
        <w:rPr>
          <w:rFonts w:ascii="Times New Roman" w:hAnsi="Times New Roman" w:cs="Times New Roman"/>
          <w:sz w:val="24"/>
          <w:szCs w:val="24"/>
        </w:rPr>
        <w:t>E</w:t>
      </w:r>
      <w:r w:rsidRPr="00944940">
        <w:rPr>
          <w:rFonts w:ascii="Times New Roman" w:hAnsi="Times New Roman" w:cs="Times New Roman"/>
          <w:sz w:val="24"/>
          <w:szCs w:val="24"/>
        </w:rPr>
        <w:t>SIA certificate, provisional or otherwise was available as at 22 February</w:t>
      </w:r>
      <w:r w:rsidR="003834B9">
        <w:rPr>
          <w:rFonts w:ascii="Times New Roman" w:hAnsi="Times New Roman" w:cs="Times New Roman"/>
          <w:sz w:val="24"/>
          <w:szCs w:val="24"/>
        </w:rPr>
        <w:t>, 2017. The lettr of 22 February, 2016 did not authorize the commencement of works but only the access and provision of the site</w:t>
      </w:r>
      <w:r w:rsidRPr="00944940">
        <w:rPr>
          <w:rFonts w:ascii="Times New Roman" w:hAnsi="Times New Roman" w:cs="Times New Roman"/>
          <w:sz w:val="24"/>
          <w:szCs w:val="24"/>
        </w:rPr>
        <w:t>.</w:t>
      </w:r>
    </w:p>
    <w:p w:rsidR="00ED0486" w:rsidRPr="00944940" w:rsidRDefault="00ED0486" w:rsidP="00ED0486">
      <w:pPr>
        <w:spacing w:after="0" w:line="360" w:lineRule="auto"/>
        <w:jc w:val="both"/>
        <w:rPr>
          <w:rFonts w:ascii="Times New Roman" w:hAnsi="Times New Roman" w:cs="Times New Roman"/>
          <w:sz w:val="24"/>
          <w:szCs w:val="24"/>
        </w:rPr>
      </w:pPr>
      <w:r w:rsidRPr="00944940">
        <w:rPr>
          <w:rFonts w:ascii="Times New Roman" w:hAnsi="Times New Roman" w:cs="Times New Roman"/>
          <w:sz w:val="24"/>
          <w:szCs w:val="24"/>
        </w:rPr>
        <w:tab/>
        <w:t>After a consideration of all the circumstances of this case and the parties</w:t>
      </w:r>
      <w:r>
        <w:rPr>
          <w:rFonts w:ascii="Times New Roman" w:hAnsi="Times New Roman" w:cs="Times New Roman"/>
          <w:sz w:val="24"/>
          <w:szCs w:val="24"/>
        </w:rPr>
        <w:t>’</w:t>
      </w:r>
      <w:r w:rsidRPr="00944940">
        <w:rPr>
          <w:rFonts w:ascii="Times New Roman" w:hAnsi="Times New Roman" w:cs="Times New Roman"/>
          <w:sz w:val="24"/>
          <w:szCs w:val="24"/>
        </w:rPr>
        <w:t xml:space="preserve"> depositions, the voluminous nature of the application is deceiving inasmuch as it would point out to a case replete with irreconcilable disputes of fact. There are none such irreconcilable facts of a fundamental nature. The contract between the parties in clause 5 provided that it was time bound. The applica</w:t>
      </w:r>
      <w:r w:rsidR="003834B9">
        <w:rPr>
          <w:rFonts w:ascii="Times New Roman" w:hAnsi="Times New Roman" w:cs="Times New Roman"/>
          <w:sz w:val="24"/>
          <w:szCs w:val="24"/>
        </w:rPr>
        <w:t>n</w:t>
      </w:r>
      <w:r w:rsidRPr="00944940">
        <w:rPr>
          <w:rFonts w:ascii="Times New Roman" w:hAnsi="Times New Roman" w:cs="Times New Roman"/>
          <w:sz w:val="24"/>
          <w:szCs w:val="24"/>
        </w:rPr>
        <w:t>t as contractor would be required to discharge its obligations within a pre-determined schedule. In the event that the contractor fails to carry out its obligations within the limitation of time provided, it risks being slapped by the respondent</w:t>
      </w:r>
      <w:r w:rsidR="003834B9">
        <w:rPr>
          <w:rFonts w:ascii="Times New Roman" w:hAnsi="Times New Roman" w:cs="Times New Roman"/>
          <w:sz w:val="24"/>
          <w:szCs w:val="24"/>
        </w:rPr>
        <w:t>,</w:t>
      </w:r>
      <w:r w:rsidRPr="00944940">
        <w:rPr>
          <w:rFonts w:ascii="Times New Roman" w:hAnsi="Times New Roman" w:cs="Times New Roman"/>
          <w:sz w:val="24"/>
          <w:szCs w:val="24"/>
        </w:rPr>
        <w:t xml:space="preserve"> as employer with a claim for damages. The employer cannot however hold the contractor liable for failure to discharge the contracted obligations where the cause of the delay is attributable to the employer.</w:t>
      </w:r>
    </w:p>
    <w:p w:rsidR="00ED0486" w:rsidRPr="00944940" w:rsidRDefault="00ED0486" w:rsidP="00ED0486">
      <w:pPr>
        <w:spacing w:after="0" w:line="360" w:lineRule="auto"/>
        <w:jc w:val="both"/>
        <w:rPr>
          <w:rFonts w:ascii="Times New Roman" w:hAnsi="Times New Roman" w:cs="Times New Roman"/>
          <w:sz w:val="24"/>
          <w:szCs w:val="24"/>
        </w:rPr>
      </w:pPr>
      <w:r w:rsidRPr="00944940">
        <w:rPr>
          <w:rFonts w:ascii="Times New Roman" w:hAnsi="Times New Roman" w:cs="Times New Roman"/>
          <w:sz w:val="24"/>
          <w:szCs w:val="24"/>
        </w:rPr>
        <w:tab/>
        <w:t>The parties executed an addendum to the contract whose effect was the extension of the period to carry out defined pre-commencement works. The addendum clearly provided that the respondent would pay the applicant’s subcontractor</w:t>
      </w:r>
      <w:r w:rsidR="003834B9">
        <w:rPr>
          <w:rFonts w:ascii="Times New Roman" w:hAnsi="Times New Roman" w:cs="Times New Roman"/>
          <w:sz w:val="24"/>
          <w:szCs w:val="24"/>
        </w:rPr>
        <w:t>s</w:t>
      </w:r>
      <w:r w:rsidRPr="00944940">
        <w:rPr>
          <w:rFonts w:ascii="Times New Roman" w:hAnsi="Times New Roman" w:cs="Times New Roman"/>
          <w:sz w:val="24"/>
          <w:szCs w:val="24"/>
        </w:rPr>
        <w:t xml:space="preserve"> directly for performance of the work s</w:t>
      </w:r>
      <w:r>
        <w:rPr>
          <w:rFonts w:ascii="Times New Roman" w:hAnsi="Times New Roman" w:cs="Times New Roman"/>
          <w:sz w:val="24"/>
          <w:szCs w:val="24"/>
        </w:rPr>
        <w:t>et</w:t>
      </w:r>
      <w:r w:rsidRPr="00944940">
        <w:rPr>
          <w:rFonts w:ascii="Times New Roman" w:hAnsi="Times New Roman" w:cs="Times New Roman"/>
          <w:sz w:val="24"/>
          <w:szCs w:val="24"/>
        </w:rPr>
        <w:t xml:space="preserve"> out in the schedule to the addendum. The addendum was motivated by the need to have the pre-</w:t>
      </w:r>
      <w:r w:rsidRPr="00944940">
        <w:rPr>
          <w:rFonts w:ascii="Times New Roman" w:hAnsi="Times New Roman" w:cs="Times New Roman"/>
          <w:sz w:val="24"/>
          <w:szCs w:val="24"/>
        </w:rPr>
        <w:lastRenderedPageBreak/>
        <w:t xml:space="preserve">commencement works completed within a short period. The Addendum read in clause </w:t>
      </w:r>
      <w:r>
        <w:rPr>
          <w:rFonts w:ascii="Times New Roman" w:hAnsi="Times New Roman" w:cs="Times New Roman"/>
          <w:sz w:val="24"/>
          <w:szCs w:val="24"/>
        </w:rPr>
        <w:t xml:space="preserve">11 </w:t>
      </w:r>
      <w:r w:rsidRPr="00944940">
        <w:rPr>
          <w:rFonts w:ascii="Times New Roman" w:hAnsi="Times New Roman" w:cs="Times New Roman"/>
          <w:sz w:val="24"/>
          <w:szCs w:val="24"/>
        </w:rPr>
        <w:t>thereof:</w:t>
      </w:r>
    </w:p>
    <w:p w:rsidR="00ED0486" w:rsidRDefault="00ED0486" w:rsidP="00ED0486">
      <w:pPr>
        <w:spacing w:after="0" w:line="240" w:lineRule="auto"/>
        <w:ind w:left="720"/>
        <w:jc w:val="both"/>
        <w:rPr>
          <w:rFonts w:ascii="Times New Roman" w:hAnsi="Times New Roman" w:cs="Times New Roman"/>
        </w:rPr>
      </w:pPr>
      <w:r w:rsidRPr="00C55194">
        <w:rPr>
          <w:rFonts w:ascii="Times New Roman" w:hAnsi="Times New Roman" w:cs="Times New Roman"/>
        </w:rPr>
        <w:t>“11.  And whereas the parties are desirous to insure progress at site to enable the main works on the project to commence.”</w:t>
      </w:r>
    </w:p>
    <w:p w:rsidR="00ED0486" w:rsidRPr="00C55194" w:rsidRDefault="00ED0486" w:rsidP="00ED0486">
      <w:pPr>
        <w:spacing w:after="0" w:line="240" w:lineRule="auto"/>
        <w:ind w:left="720"/>
        <w:jc w:val="both"/>
        <w:rPr>
          <w:rFonts w:ascii="Times New Roman" w:hAnsi="Times New Roman" w:cs="Times New Roman"/>
        </w:rPr>
      </w:pPr>
    </w:p>
    <w:p w:rsidR="00314EFE" w:rsidRDefault="00ED0486" w:rsidP="00ED0486">
      <w:pPr>
        <w:spacing w:after="0" w:line="360" w:lineRule="auto"/>
        <w:jc w:val="both"/>
        <w:rPr>
          <w:rFonts w:ascii="Times New Roman" w:hAnsi="Times New Roman" w:cs="Times New Roman"/>
          <w:sz w:val="24"/>
          <w:szCs w:val="24"/>
        </w:rPr>
      </w:pPr>
      <w:r w:rsidRPr="00944940">
        <w:rPr>
          <w:rFonts w:ascii="Times New Roman" w:hAnsi="Times New Roman" w:cs="Times New Roman"/>
          <w:sz w:val="24"/>
          <w:szCs w:val="24"/>
        </w:rPr>
        <w:tab/>
        <w:t>It is clear therefore tha</w:t>
      </w:r>
      <w:r>
        <w:rPr>
          <w:rFonts w:ascii="Times New Roman" w:hAnsi="Times New Roman" w:cs="Times New Roman"/>
          <w:sz w:val="24"/>
          <w:szCs w:val="24"/>
        </w:rPr>
        <w:t>t</w:t>
      </w:r>
      <w:r w:rsidRPr="00944940">
        <w:rPr>
          <w:rFonts w:ascii="Times New Roman" w:hAnsi="Times New Roman" w:cs="Times New Roman"/>
          <w:sz w:val="24"/>
          <w:szCs w:val="24"/>
        </w:rPr>
        <w:t xml:space="preserve"> the addendum was intended to address delays encountered which included </w:t>
      </w:r>
      <w:r w:rsidRPr="00BB24B3">
        <w:rPr>
          <w:rFonts w:ascii="Times New Roman" w:hAnsi="Times New Roman" w:cs="Times New Roman"/>
          <w:i/>
          <w:sz w:val="24"/>
          <w:szCs w:val="24"/>
        </w:rPr>
        <w:t>inter alia</w:t>
      </w:r>
      <w:r w:rsidRPr="00944940">
        <w:rPr>
          <w:rFonts w:ascii="Times New Roman" w:hAnsi="Times New Roman" w:cs="Times New Roman"/>
          <w:sz w:val="24"/>
          <w:szCs w:val="24"/>
        </w:rPr>
        <w:t xml:space="preserve"> the ESIA certificate being obtained late. The pre-commencement works as detailed would require to</w:t>
      </w:r>
      <w:r w:rsidR="003834B9">
        <w:rPr>
          <w:rFonts w:ascii="Times New Roman" w:hAnsi="Times New Roman" w:cs="Times New Roman"/>
          <w:sz w:val="24"/>
          <w:szCs w:val="24"/>
        </w:rPr>
        <w:t xml:space="preserve"> be </w:t>
      </w:r>
      <w:r w:rsidRPr="00944940">
        <w:rPr>
          <w:rFonts w:ascii="Times New Roman" w:hAnsi="Times New Roman" w:cs="Times New Roman"/>
          <w:sz w:val="24"/>
          <w:szCs w:val="24"/>
        </w:rPr>
        <w:t>authorized by EMA because of their impact on the environment. The period for performance was therefore eaten into</w:t>
      </w:r>
      <w:r w:rsidR="003834B9">
        <w:rPr>
          <w:rFonts w:ascii="Times New Roman" w:hAnsi="Times New Roman" w:cs="Times New Roman"/>
          <w:sz w:val="24"/>
          <w:szCs w:val="24"/>
        </w:rPr>
        <w:t xml:space="preserve"> by the delays</w:t>
      </w:r>
      <w:r w:rsidRPr="00944940">
        <w:rPr>
          <w:rFonts w:ascii="Times New Roman" w:hAnsi="Times New Roman" w:cs="Times New Roman"/>
          <w:sz w:val="24"/>
          <w:szCs w:val="24"/>
        </w:rPr>
        <w:t>. The respondent</w:t>
      </w:r>
      <w:r w:rsidR="00314EFE">
        <w:rPr>
          <w:rFonts w:ascii="Times New Roman" w:hAnsi="Times New Roman" w:cs="Times New Roman"/>
          <w:sz w:val="24"/>
          <w:szCs w:val="24"/>
        </w:rPr>
        <w:t xml:space="preserve"> did not pay the subcontractors and it was </w:t>
      </w:r>
      <w:r w:rsidR="003834B9">
        <w:rPr>
          <w:rFonts w:ascii="Times New Roman" w:hAnsi="Times New Roman" w:cs="Times New Roman"/>
          <w:sz w:val="24"/>
          <w:szCs w:val="24"/>
        </w:rPr>
        <w:t xml:space="preserve">not </w:t>
      </w:r>
      <w:r w:rsidR="00314EFE">
        <w:rPr>
          <w:rFonts w:ascii="Times New Roman" w:hAnsi="Times New Roman" w:cs="Times New Roman"/>
          <w:sz w:val="24"/>
          <w:szCs w:val="24"/>
        </w:rPr>
        <w:t>disputed that they demobilized.</w:t>
      </w:r>
    </w:p>
    <w:p w:rsidR="00314EFE" w:rsidRDefault="00314EFE" w:rsidP="00314EF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Despite the existence and validity of the addendu</w:t>
      </w:r>
      <w:r w:rsidR="009D3E4D">
        <w:rPr>
          <w:rFonts w:ascii="Times New Roman" w:hAnsi="Times New Roman" w:cs="Times New Roman"/>
          <w:sz w:val="24"/>
          <w:szCs w:val="24"/>
        </w:rPr>
        <w:t>m</w:t>
      </w:r>
      <w:r>
        <w:rPr>
          <w:rFonts w:ascii="Times New Roman" w:hAnsi="Times New Roman" w:cs="Times New Roman"/>
          <w:sz w:val="24"/>
          <w:szCs w:val="24"/>
        </w:rPr>
        <w:t>, the respondent filed criminal charges against the applicant, it</w:t>
      </w:r>
      <w:r w:rsidR="003834B9">
        <w:rPr>
          <w:rFonts w:ascii="Times New Roman" w:hAnsi="Times New Roman" w:cs="Times New Roman"/>
          <w:sz w:val="24"/>
          <w:szCs w:val="24"/>
        </w:rPr>
        <w:t>s</w:t>
      </w:r>
      <w:r>
        <w:rPr>
          <w:rFonts w:ascii="Times New Roman" w:hAnsi="Times New Roman" w:cs="Times New Roman"/>
          <w:sz w:val="24"/>
          <w:szCs w:val="24"/>
        </w:rPr>
        <w:t xml:space="preserve"> managing director and Minister Undenge. The criminal process sta</w:t>
      </w:r>
      <w:r w:rsidR="003834B9">
        <w:rPr>
          <w:rFonts w:ascii="Times New Roman" w:hAnsi="Times New Roman" w:cs="Times New Roman"/>
          <w:sz w:val="24"/>
          <w:szCs w:val="24"/>
        </w:rPr>
        <w:t>lled</w:t>
      </w:r>
      <w:r>
        <w:rPr>
          <w:rFonts w:ascii="Times New Roman" w:hAnsi="Times New Roman" w:cs="Times New Roman"/>
          <w:sz w:val="24"/>
          <w:szCs w:val="24"/>
        </w:rPr>
        <w:t xml:space="preserve"> the implementation of the contract and the filing of the charges under the circumstances constituted</w:t>
      </w:r>
      <w:r w:rsidR="003834B9">
        <w:rPr>
          <w:rFonts w:ascii="Times New Roman" w:hAnsi="Times New Roman" w:cs="Times New Roman"/>
          <w:sz w:val="24"/>
          <w:szCs w:val="24"/>
        </w:rPr>
        <w:t xml:space="preserve"> a</w:t>
      </w:r>
      <w:r>
        <w:rPr>
          <w:rFonts w:ascii="Times New Roman" w:hAnsi="Times New Roman" w:cs="Times New Roman"/>
          <w:sz w:val="24"/>
          <w:szCs w:val="24"/>
        </w:rPr>
        <w:t xml:space="preserve"> pre-em</w:t>
      </w:r>
      <w:r w:rsidR="009D3E4D">
        <w:rPr>
          <w:rFonts w:ascii="Times New Roman" w:hAnsi="Times New Roman" w:cs="Times New Roman"/>
          <w:sz w:val="24"/>
          <w:szCs w:val="24"/>
        </w:rPr>
        <w:t>p</w:t>
      </w:r>
      <w:r>
        <w:rPr>
          <w:rFonts w:ascii="Times New Roman" w:hAnsi="Times New Roman" w:cs="Times New Roman"/>
          <w:sz w:val="24"/>
          <w:szCs w:val="24"/>
        </w:rPr>
        <w:t>tive step by the respondent to ensure that the timeous performance of the contract would be frustrated</w:t>
      </w:r>
      <w:r w:rsidR="003834B9">
        <w:rPr>
          <w:rFonts w:ascii="Times New Roman" w:hAnsi="Times New Roman" w:cs="Times New Roman"/>
          <w:sz w:val="24"/>
          <w:szCs w:val="24"/>
        </w:rPr>
        <w:t>.</w:t>
      </w:r>
      <w:r>
        <w:rPr>
          <w:rFonts w:ascii="Times New Roman" w:hAnsi="Times New Roman" w:cs="Times New Roman"/>
          <w:sz w:val="24"/>
          <w:szCs w:val="24"/>
        </w:rPr>
        <w:t xml:space="preserve"> The constructive frustration effectively amounted to a repu</w:t>
      </w:r>
      <w:r w:rsidR="003834B9">
        <w:rPr>
          <w:rFonts w:ascii="Times New Roman" w:hAnsi="Times New Roman" w:cs="Times New Roman"/>
          <w:sz w:val="24"/>
          <w:szCs w:val="24"/>
        </w:rPr>
        <w:t>diat</w:t>
      </w:r>
      <w:r>
        <w:rPr>
          <w:rFonts w:ascii="Times New Roman" w:hAnsi="Times New Roman" w:cs="Times New Roman"/>
          <w:sz w:val="24"/>
          <w:szCs w:val="24"/>
        </w:rPr>
        <w:t>ion of the contract</w:t>
      </w:r>
      <w:r w:rsidR="003834B9">
        <w:rPr>
          <w:rFonts w:ascii="Times New Roman" w:hAnsi="Times New Roman" w:cs="Times New Roman"/>
          <w:sz w:val="24"/>
          <w:szCs w:val="24"/>
        </w:rPr>
        <w:t xml:space="preserve"> by the respondent</w:t>
      </w:r>
      <w:r>
        <w:rPr>
          <w:rFonts w:ascii="Times New Roman" w:hAnsi="Times New Roman" w:cs="Times New Roman"/>
          <w:sz w:val="24"/>
          <w:szCs w:val="24"/>
        </w:rPr>
        <w:t>.</w:t>
      </w:r>
      <w:r w:rsidR="003834B9">
        <w:rPr>
          <w:rFonts w:ascii="Times New Roman" w:hAnsi="Times New Roman" w:cs="Times New Roman"/>
          <w:sz w:val="24"/>
          <w:szCs w:val="24"/>
        </w:rPr>
        <w:t xml:space="preserve"> The applicant contested the tacit respudiation and its letters in this regard are on record.</w:t>
      </w:r>
    </w:p>
    <w:p w:rsidR="00314EFE" w:rsidRDefault="00314EFE" w:rsidP="00314EF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sidRPr="009D3E4D">
        <w:rPr>
          <w:rFonts w:ascii="Times New Roman" w:hAnsi="Times New Roman" w:cs="Times New Roman"/>
          <w:i/>
          <w:sz w:val="24"/>
          <w:szCs w:val="24"/>
        </w:rPr>
        <w:t>San</w:t>
      </w:r>
      <w:r w:rsidR="009D3E4D" w:rsidRPr="009D3E4D">
        <w:rPr>
          <w:rFonts w:ascii="Times New Roman" w:hAnsi="Times New Roman" w:cs="Times New Roman"/>
          <w:i/>
          <w:sz w:val="24"/>
          <w:szCs w:val="24"/>
        </w:rPr>
        <w:t>d</w:t>
      </w:r>
      <w:r w:rsidRPr="009D3E4D">
        <w:rPr>
          <w:rFonts w:ascii="Times New Roman" w:hAnsi="Times New Roman" w:cs="Times New Roman"/>
          <w:i/>
          <w:sz w:val="24"/>
          <w:szCs w:val="24"/>
        </w:rPr>
        <w:t>o</w:t>
      </w:r>
      <w:r w:rsidR="009D3E4D" w:rsidRPr="009D3E4D">
        <w:rPr>
          <w:rFonts w:ascii="Times New Roman" w:hAnsi="Times New Roman" w:cs="Times New Roman"/>
          <w:i/>
          <w:sz w:val="24"/>
          <w:szCs w:val="24"/>
        </w:rPr>
        <w:t>v</w:t>
      </w:r>
      <w:r w:rsidRPr="009D3E4D">
        <w:rPr>
          <w:rFonts w:ascii="Times New Roman" w:hAnsi="Times New Roman" w:cs="Times New Roman"/>
          <w:i/>
          <w:sz w:val="24"/>
          <w:szCs w:val="24"/>
        </w:rPr>
        <w:t>on Travel (P</w:t>
      </w:r>
      <w:r w:rsidR="009D3E4D" w:rsidRPr="009D3E4D">
        <w:rPr>
          <w:rFonts w:ascii="Times New Roman" w:hAnsi="Times New Roman" w:cs="Times New Roman"/>
          <w:i/>
          <w:sz w:val="24"/>
          <w:szCs w:val="24"/>
        </w:rPr>
        <w:t>t</w:t>
      </w:r>
      <w:r w:rsidRPr="009D3E4D">
        <w:rPr>
          <w:rFonts w:ascii="Times New Roman" w:hAnsi="Times New Roman" w:cs="Times New Roman"/>
          <w:i/>
          <w:sz w:val="24"/>
          <w:szCs w:val="24"/>
        </w:rPr>
        <w:t>y) Ltd</w:t>
      </w:r>
      <w:r>
        <w:rPr>
          <w:rFonts w:ascii="Times New Roman" w:hAnsi="Times New Roman" w:cs="Times New Roman"/>
          <w:sz w:val="24"/>
          <w:szCs w:val="24"/>
        </w:rPr>
        <w:t xml:space="preserve"> v </w:t>
      </w:r>
      <w:r w:rsidRPr="009D3E4D">
        <w:rPr>
          <w:rFonts w:ascii="Times New Roman" w:hAnsi="Times New Roman" w:cs="Times New Roman"/>
          <w:i/>
          <w:sz w:val="24"/>
          <w:szCs w:val="24"/>
        </w:rPr>
        <w:t>Cricket South Africa</w:t>
      </w:r>
      <w:r>
        <w:rPr>
          <w:rFonts w:ascii="Times New Roman" w:hAnsi="Times New Roman" w:cs="Times New Roman"/>
          <w:sz w:val="24"/>
          <w:szCs w:val="24"/>
        </w:rPr>
        <w:t xml:space="preserve"> 2013 (2) </w:t>
      </w:r>
      <w:r w:rsidR="009D3E4D">
        <w:rPr>
          <w:rFonts w:ascii="Times New Roman" w:hAnsi="Times New Roman" w:cs="Times New Roman"/>
          <w:sz w:val="24"/>
          <w:szCs w:val="24"/>
        </w:rPr>
        <w:t xml:space="preserve">SA </w:t>
      </w:r>
      <w:r>
        <w:rPr>
          <w:rFonts w:ascii="Times New Roman" w:hAnsi="Times New Roman" w:cs="Times New Roman"/>
          <w:sz w:val="24"/>
          <w:szCs w:val="24"/>
        </w:rPr>
        <w:t>502, it is stated;</w:t>
      </w:r>
    </w:p>
    <w:p w:rsidR="00314EFE" w:rsidRDefault="00314EFE" w:rsidP="009D3E4D">
      <w:pPr>
        <w:spacing w:after="0" w:line="240" w:lineRule="auto"/>
        <w:ind w:firstLine="720"/>
        <w:jc w:val="both"/>
        <w:rPr>
          <w:rFonts w:ascii="Times New Roman" w:hAnsi="Times New Roman" w:cs="Times New Roman"/>
          <w:sz w:val="24"/>
          <w:szCs w:val="24"/>
        </w:rPr>
      </w:pPr>
      <w:r w:rsidRPr="009D3E4D">
        <w:rPr>
          <w:rFonts w:ascii="Times New Roman" w:hAnsi="Times New Roman" w:cs="Times New Roman"/>
        </w:rPr>
        <w:t>“The innocent party in the case of a repudiation is not compelled to rescind the contract. He or she is at liberty to ignore or re</w:t>
      </w:r>
      <w:r w:rsidR="003834B9">
        <w:rPr>
          <w:rFonts w:ascii="Times New Roman" w:hAnsi="Times New Roman" w:cs="Times New Roman"/>
        </w:rPr>
        <w:t>j</w:t>
      </w:r>
      <w:r w:rsidRPr="009D3E4D">
        <w:rPr>
          <w:rFonts w:ascii="Times New Roman" w:hAnsi="Times New Roman" w:cs="Times New Roman"/>
        </w:rPr>
        <w:t>ect the repudiato</w:t>
      </w:r>
      <w:r w:rsidR="00115097">
        <w:rPr>
          <w:rFonts w:ascii="Times New Roman" w:hAnsi="Times New Roman" w:cs="Times New Roman"/>
        </w:rPr>
        <w:t>r</w:t>
      </w:r>
      <w:r w:rsidRPr="009D3E4D">
        <w:rPr>
          <w:rFonts w:ascii="Times New Roman" w:hAnsi="Times New Roman" w:cs="Times New Roman"/>
        </w:rPr>
        <w:t>, await the time when performa</w:t>
      </w:r>
      <w:r w:rsidR="009D3E4D" w:rsidRPr="009D3E4D">
        <w:rPr>
          <w:rFonts w:ascii="Times New Roman" w:hAnsi="Times New Roman" w:cs="Times New Roman"/>
        </w:rPr>
        <w:t>n</w:t>
      </w:r>
      <w:r w:rsidRPr="009D3E4D">
        <w:rPr>
          <w:rFonts w:ascii="Times New Roman" w:hAnsi="Times New Roman" w:cs="Times New Roman"/>
        </w:rPr>
        <w:t>ce is due and then claim specific performance (or damages from the repudiation”</w:t>
      </w:r>
      <w:r>
        <w:rPr>
          <w:rFonts w:ascii="Times New Roman" w:hAnsi="Times New Roman" w:cs="Times New Roman"/>
          <w:sz w:val="24"/>
          <w:szCs w:val="24"/>
        </w:rPr>
        <w:t xml:space="preserve"> S</w:t>
      </w:r>
      <w:r w:rsidR="009D3E4D">
        <w:rPr>
          <w:rFonts w:ascii="Times New Roman" w:hAnsi="Times New Roman" w:cs="Times New Roman"/>
          <w:sz w:val="24"/>
          <w:szCs w:val="24"/>
        </w:rPr>
        <w:t>ee</w:t>
      </w:r>
      <w:r>
        <w:rPr>
          <w:rFonts w:ascii="Times New Roman" w:hAnsi="Times New Roman" w:cs="Times New Roman"/>
          <w:sz w:val="24"/>
          <w:szCs w:val="24"/>
        </w:rPr>
        <w:t xml:space="preserve"> LAWSA </w:t>
      </w:r>
      <w:r w:rsidR="009D3E4D">
        <w:rPr>
          <w:rFonts w:ascii="Times New Roman" w:hAnsi="Times New Roman" w:cs="Times New Roman"/>
          <w:sz w:val="24"/>
          <w:szCs w:val="24"/>
        </w:rPr>
        <w:t>V</w:t>
      </w:r>
      <w:r>
        <w:rPr>
          <w:rFonts w:ascii="Times New Roman" w:hAnsi="Times New Roman" w:cs="Times New Roman"/>
          <w:sz w:val="24"/>
          <w:szCs w:val="24"/>
        </w:rPr>
        <w:t xml:space="preserve">ol 5 part 1 para 486. Also see </w:t>
      </w:r>
      <w:r w:rsidRPr="009D3E4D">
        <w:rPr>
          <w:rFonts w:ascii="Times New Roman" w:hAnsi="Times New Roman" w:cs="Times New Roman"/>
          <w:i/>
          <w:sz w:val="24"/>
          <w:szCs w:val="24"/>
        </w:rPr>
        <w:t>Gilchrist and Co</w:t>
      </w:r>
      <w:r>
        <w:rPr>
          <w:rFonts w:ascii="Times New Roman" w:hAnsi="Times New Roman" w:cs="Times New Roman"/>
          <w:sz w:val="24"/>
          <w:szCs w:val="24"/>
        </w:rPr>
        <w:t xml:space="preserve"> v </w:t>
      </w:r>
      <w:r w:rsidRPr="009D3E4D">
        <w:rPr>
          <w:rFonts w:ascii="Times New Roman" w:hAnsi="Times New Roman" w:cs="Times New Roman"/>
          <w:i/>
          <w:sz w:val="24"/>
          <w:szCs w:val="24"/>
        </w:rPr>
        <w:t>Stone (1889) 5 HCG</w:t>
      </w:r>
      <w:r>
        <w:rPr>
          <w:rFonts w:ascii="Times New Roman" w:hAnsi="Times New Roman" w:cs="Times New Roman"/>
          <w:sz w:val="24"/>
          <w:szCs w:val="24"/>
        </w:rPr>
        <w:t xml:space="preserve"> 353 AT 338. </w:t>
      </w:r>
      <w:r w:rsidRPr="009D3E4D">
        <w:rPr>
          <w:rFonts w:ascii="Times New Roman" w:hAnsi="Times New Roman" w:cs="Times New Roman"/>
          <w:i/>
          <w:sz w:val="24"/>
          <w:szCs w:val="24"/>
        </w:rPr>
        <w:t>Delany</w:t>
      </w:r>
      <w:r>
        <w:rPr>
          <w:rFonts w:ascii="Times New Roman" w:hAnsi="Times New Roman" w:cs="Times New Roman"/>
          <w:sz w:val="24"/>
          <w:szCs w:val="24"/>
        </w:rPr>
        <w:t xml:space="preserve"> v </w:t>
      </w:r>
      <w:r w:rsidRPr="009D3E4D">
        <w:rPr>
          <w:rFonts w:ascii="Times New Roman" w:hAnsi="Times New Roman" w:cs="Times New Roman"/>
          <w:i/>
          <w:sz w:val="24"/>
          <w:szCs w:val="24"/>
        </w:rPr>
        <w:t>Medefindit</w:t>
      </w:r>
      <w:r>
        <w:rPr>
          <w:rFonts w:ascii="Times New Roman" w:hAnsi="Times New Roman" w:cs="Times New Roman"/>
          <w:sz w:val="24"/>
          <w:szCs w:val="24"/>
        </w:rPr>
        <w:t xml:space="preserve"> 1908 EDC 200 at 205; MACHAMCK V Bornstein 1920 CPD 380 at 381-382; De WET V Kulin 1910 CPD 263 AT 267.</w:t>
      </w:r>
    </w:p>
    <w:p w:rsidR="009D3E4D" w:rsidRDefault="009D3E4D" w:rsidP="009D3E4D">
      <w:pPr>
        <w:spacing w:after="0" w:line="240" w:lineRule="auto"/>
        <w:ind w:firstLine="720"/>
        <w:jc w:val="both"/>
        <w:rPr>
          <w:rFonts w:ascii="Times New Roman" w:hAnsi="Times New Roman" w:cs="Times New Roman"/>
          <w:sz w:val="24"/>
          <w:szCs w:val="24"/>
        </w:rPr>
      </w:pPr>
    </w:p>
    <w:p w:rsidR="00C774CF" w:rsidRDefault="00314EFE" w:rsidP="00314EF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follows tha</w:t>
      </w:r>
      <w:r w:rsidR="009D3E4D">
        <w:rPr>
          <w:rFonts w:ascii="Times New Roman" w:hAnsi="Times New Roman" w:cs="Times New Roman"/>
          <w:sz w:val="24"/>
          <w:szCs w:val="24"/>
        </w:rPr>
        <w:t>t</w:t>
      </w:r>
      <w:r>
        <w:rPr>
          <w:rFonts w:ascii="Times New Roman" w:hAnsi="Times New Roman" w:cs="Times New Roman"/>
          <w:sz w:val="24"/>
          <w:szCs w:val="24"/>
        </w:rPr>
        <w:t xml:space="preserve"> in the circumstances of this case, there was no breach by the applicant based on failure to timeously perform on time. Following the amendment of the contract, there was no legal basis for the respondent to allege a failure to perform and to file criminal charges against the applicant. Such conduct was arbitrary and in the c</w:t>
      </w:r>
      <w:r w:rsidR="00C774CF" w:rsidRPr="0044563F">
        <w:rPr>
          <w:rFonts w:ascii="Times New Roman" w:hAnsi="Times New Roman" w:cs="Times New Roman"/>
          <w:sz w:val="24"/>
          <w:szCs w:val="24"/>
        </w:rPr>
        <w:t>ircumstances, a pl</w:t>
      </w:r>
      <w:r w:rsidR="00115097">
        <w:rPr>
          <w:rFonts w:ascii="Times New Roman" w:hAnsi="Times New Roman" w:cs="Times New Roman"/>
          <w:sz w:val="24"/>
          <w:szCs w:val="24"/>
        </w:rPr>
        <w:t>o</w:t>
      </w:r>
      <w:r w:rsidR="00C774CF" w:rsidRPr="0044563F">
        <w:rPr>
          <w:rFonts w:ascii="Times New Roman" w:hAnsi="Times New Roman" w:cs="Times New Roman"/>
          <w:sz w:val="24"/>
          <w:szCs w:val="24"/>
        </w:rPr>
        <w:t xml:space="preserve">y to frustrate the applicant. </w:t>
      </w:r>
      <w:r w:rsidR="00115097">
        <w:rPr>
          <w:rFonts w:ascii="Times New Roman" w:hAnsi="Times New Roman" w:cs="Times New Roman"/>
          <w:sz w:val="24"/>
          <w:szCs w:val="24"/>
        </w:rPr>
        <w:t>T</w:t>
      </w:r>
      <w:r w:rsidR="00C774CF" w:rsidRPr="0044563F">
        <w:rPr>
          <w:rFonts w:ascii="Times New Roman" w:hAnsi="Times New Roman" w:cs="Times New Roman"/>
          <w:sz w:val="24"/>
          <w:szCs w:val="24"/>
        </w:rPr>
        <w:t xml:space="preserve">he involvement of the </w:t>
      </w:r>
      <w:r w:rsidR="00115097">
        <w:rPr>
          <w:rFonts w:ascii="Times New Roman" w:hAnsi="Times New Roman" w:cs="Times New Roman"/>
          <w:sz w:val="24"/>
          <w:szCs w:val="24"/>
        </w:rPr>
        <w:t>S</w:t>
      </w:r>
      <w:r w:rsidR="00C774CF" w:rsidRPr="0044563F">
        <w:rPr>
          <w:rFonts w:ascii="Times New Roman" w:hAnsi="Times New Roman" w:cs="Times New Roman"/>
          <w:sz w:val="24"/>
          <w:szCs w:val="24"/>
        </w:rPr>
        <w:t>tate</w:t>
      </w:r>
      <w:r w:rsidR="00115097">
        <w:rPr>
          <w:rFonts w:ascii="Times New Roman" w:hAnsi="Times New Roman" w:cs="Times New Roman"/>
          <w:sz w:val="24"/>
          <w:szCs w:val="24"/>
        </w:rPr>
        <w:t xml:space="preserve"> organ, the police,</w:t>
      </w:r>
      <w:r w:rsidR="00C774CF" w:rsidRPr="0044563F">
        <w:rPr>
          <w:rFonts w:ascii="Times New Roman" w:hAnsi="Times New Roman" w:cs="Times New Roman"/>
          <w:sz w:val="24"/>
          <w:szCs w:val="24"/>
        </w:rPr>
        <w:t xml:space="preserve"> in the contractual dispute in circumstances where the contract was clear on dispute resolution</w:t>
      </w:r>
      <w:r w:rsidR="00115097">
        <w:rPr>
          <w:rFonts w:ascii="Times New Roman" w:hAnsi="Times New Roman" w:cs="Times New Roman"/>
          <w:sz w:val="24"/>
          <w:szCs w:val="24"/>
        </w:rPr>
        <w:t xml:space="preserve"> mechanism of arbitration and adjudication</w:t>
      </w:r>
      <w:r w:rsidR="00C774CF" w:rsidRPr="0044563F">
        <w:rPr>
          <w:rFonts w:ascii="Times New Roman" w:hAnsi="Times New Roman" w:cs="Times New Roman"/>
          <w:sz w:val="24"/>
          <w:szCs w:val="24"/>
        </w:rPr>
        <w:t xml:space="preserve"> and before the mechanisms therein had been exhausted was unfortunate and</w:t>
      </w:r>
      <w:r w:rsidR="00115097">
        <w:rPr>
          <w:rFonts w:ascii="Times New Roman" w:hAnsi="Times New Roman" w:cs="Times New Roman"/>
          <w:sz w:val="24"/>
          <w:szCs w:val="24"/>
        </w:rPr>
        <w:t xml:space="preserve"> precipitate. Such conduct</w:t>
      </w:r>
      <w:r w:rsidR="00C774CF" w:rsidRPr="0044563F">
        <w:rPr>
          <w:rFonts w:ascii="Times New Roman" w:hAnsi="Times New Roman" w:cs="Times New Roman"/>
          <w:sz w:val="24"/>
          <w:szCs w:val="24"/>
        </w:rPr>
        <w:t xml:space="preserve"> may send the wrong signal to investors and the business community that if they conclude contracts with </w:t>
      </w:r>
      <w:r w:rsidR="00115097">
        <w:rPr>
          <w:rFonts w:ascii="Times New Roman" w:hAnsi="Times New Roman" w:cs="Times New Roman"/>
          <w:sz w:val="24"/>
          <w:szCs w:val="24"/>
        </w:rPr>
        <w:t>S</w:t>
      </w:r>
      <w:r w:rsidR="00C774CF" w:rsidRPr="0044563F">
        <w:rPr>
          <w:rFonts w:ascii="Times New Roman" w:hAnsi="Times New Roman" w:cs="Times New Roman"/>
          <w:sz w:val="24"/>
          <w:szCs w:val="24"/>
        </w:rPr>
        <w:t>tate</w:t>
      </w:r>
      <w:r w:rsidR="00C774CF">
        <w:rPr>
          <w:rFonts w:ascii="Times New Roman" w:hAnsi="Times New Roman" w:cs="Times New Roman"/>
          <w:sz w:val="24"/>
          <w:szCs w:val="24"/>
        </w:rPr>
        <w:t xml:space="preserve"> controlled entities they risk enforcement of obligations </w:t>
      </w:r>
      <w:r w:rsidR="00C774CF">
        <w:rPr>
          <w:rFonts w:ascii="Times New Roman" w:hAnsi="Times New Roman" w:cs="Times New Roman"/>
          <w:sz w:val="24"/>
          <w:szCs w:val="24"/>
        </w:rPr>
        <w:lastRenderedPageBreak/>
        <w:t>being pursued criminally as opposed to the use of civil remedies</w:t>
      </w:r>
      <w:r w:rsidR="00115097">
        <w:rPr>
          <w:rFonts w:ascii="Times New Roman" w:hAnsi="Times New Roman" w:cs="Times New Roman"/>
          <w:sz w:val="24"/>
          <w:szCs w:val="24"/>
        </w:rPr>
        <w:t xml:space="preserve"> and mechanism for dispute resolutions provided for in the contracts.</w:t>
      </w:r>
      <w:r w:rsidR="00C774CF">
        <w:rPr>
          <w:rFonts w:ascii="Times New Roman" w:hAnsi="Times New Roman" w:cs="Times New Roman"/>
          <w:sz w:val="24"/>
          <w:szCs w:val="24"/>
        </w:rPr>
        <w:t xml:space="preserve"> It is no wonder that the respondent has in this application denied that it filed a criminal report because it realises the ramifications of making such admission.</w:t>
      </w:r>
      <w:r w:rsidR="00115097">
        <w:rPr>
          <w:rFonts w:ascii="Times New Roman" w:hAnsi="Times New Roman" w:cs="Times New Roman"/>
          <w:sz w:val="24"/>
          <w:szCs w:val="24"/>
        </w:rPr>
        <w:t xml:space="preserve"> The admission would portray the respondent as an insincere and risky contracting party </w:t>
      </w:r>
      <w:r w:rsidR="006A3624">
        <w:rPr>
          <w:rFonts w:ascii="Times New Roman" w:hAnsi="Times New Roman" w:cs="Times New Roman"/>
          <w:sz w:val="24"/>
          <w:szCs w:val="24"/>
        </w:rPr>
        <w:t xml:space="preserve">lacking </w:t>
      </w:r>
      <w:r w:rsidR="00115097">
        <w:rPr>
          <w:rFonts w:ascii="Times New Roman" w:hAnsi="Times New Roman" w:cs="Times New Roman"/>
          <w:sz w:val="24"/>
          <w:szCs w:val="24"/>
        </w:rPr>
        <w:t xml:space="preserve">in good faith in that it would be seen as given to resorting to extra-contractually agreed means to remedy contractual disputes. It is noted in passing that s 49 (2) of the Constitution provides that “No person may be imprisoned merely on the ground of inability to </w:t>
      </w:r>
      <w:r w:rsidR="002904C3">
        <w:rPr>
          <w:rFonts w:ascii="Times New Roman" w:hAnsi="Times New Roman" w:cs="Times New Roman"/>
          <w:sz w:val="24"/>
          <w:szCs w:val="24"/>
        </w:rPr>
        <w:t>fulfill</w:t>
      </w:r>
      <w:r w:rsidR="00115097">
        <w:rPr>
          <w:rFonts w:ascii="Times New Roman" w:hAnsi="Times New Roman" w:cs="Times New Roman"/>
          <w:sz w:val="24"/>
          <w:szCs w:val="24"/>
        </w:rPr>
        <w:t xml:space="preserve"> a </w:t>
      </w:r>
      <w:r w:rsidR="002904C3">
        <w:rPr>
          <w:rFonts w:ascii="Times New Roman" w:hAnsi="Times New Roman" w:cs="Times New Roman"/>
          <w:sz w:val="24"/>
          <w:szCs w:val="24"/>
        </w:rPr>
        <w:t>contractual</w:t>
      </w:r>
      <w:r w:rsidR="00115097">
        <w:rPr>
          <w:rFonts w:ascii="Times New Roman" w:hAnsi="Times New Roman" w:cs="Times New Roman"/>
          <w:sz w:val="24"/>
          <w:szCs w:val="24"/>
        </w:rPr>
        <w:t xml:space="preserve"> obligation. The sanctity of contracts therefore enjoys constitutional protection.</w:t>
      </w:r>
    </w:p>
    <w:p w:rsidR="00C774CF" w:rsidRDefault="00C774CF" w:rsidP="00C774C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parties in executing the addendum on 21 September 2017 must be held to have evinced a clear intention to be further bound by the EPC contract. The addendum was not a stand alone contract inasmuch as it stipulates that it is to be read as and treated as part of the original contract. It extended the period for performance beyond 23 October, 2017. It provided for the commencement of the main works after completion of the pre-commencement works. There was therefore a tacit manner of the conditions precedent being a factor putting on hold the operationalization or commencement of the main contract. The main works could not precede the pre-commencement works if the pre-commencement works were to be completed by a date after 23 October, 2017 to pave way for commencement of the main works, the parties therefore waived the 24 month period which ended on 24 October 2017. The purported extension of 6 months given unprocedurally and being of no legal force does not affect the position that the addendum compromised and extended the 24 month period ending on 23 October, 2017. The extended period in the addendum was frustrated by the arrest of the applicant and its managing director and to that extent the doctrine of f</w:t>
      </w:r>
      <w:r w:rsidR="002904C3">
        <w:rPr>
          <w:rFonts w:ascii="Times New Roman" w:hAnsi="Times New Roman" w:cs="Times New Roman"/>
          <w:sz w:val="24"/>
          <w:szCs w:val="24"/>
        </w:rPr>
        <w:t>i</w:t>
      </w:r>
      <w:r>
        <w:rPr>
          <w:rFonts w:ascii="Times New Roman" w:hAnsi="Times New Roman" w:cs="Times New Roman"/>
          <w:sz w:val="24"/>
          <w:szCs w:val="24"/>
        </w:rPr>
        <w:t>ctional fulfillment must be held to apply in favour of the applicant.</w:t>
      </w:r>
    </w:p>
    <w:p w:rsidR="00C774CF" w:rsidRDefault="00C774CF" w:rsidP="00C774C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the circumstances the respondent must be estopped from terminating the contract other than in accordance with its terms. The right to terminate is not absolute in any event and the party seeking termination must not be responsible for the delays in satisfying conditions precedent. The respondent cannot benefit from its shortcomings or failures. The issue of an advance payment guarantee kept coming up in the papers and in arguments. The court did not really appreciate the relevance of the point because payments were made to the applicant </w:t>
      </w:r>
      <w:r>
        <w:rPr>
          <w:rFonts w:ascii="Times New Roman" w:hAnsi="Times New Roman" w:cs="Times New Roman"/>
          <w:sz w:val="24"/>
          <w:szCs w:val="24"/>
        </w:rPr>
        <w:lastRenderedPageBreak/>
        <w:t xml:space="preserve">consciously, knowingly and deliberately before the applicant had provided it. The addendum was entered into and it took into account that the advance payment guarantee was still outstanding. </w:t>
      </w:r>
      <w:r w:rsidR="002904C3">
        <w:rPr>
          <w:rFonts w:ascii="Times New Roman" w:hAnsi="Times New Roman" w:cs="Times New Roman"/>
          <w:sz w:val="24"/>
          <w:szCs w:val="24"/>
        </w:rPr>
        <w:t>There was</w:t>
      </w:r>
      <w:r w:rsidR="006A3624">
        <w:rPr>
          <w:rFonts w:ascii="Times New Roman" w:hAnsi="Times New Roman" w:cs="Times New Roman"/>
          <w:sz w:val="24"/>
          <w:szCs w:val="24"/>
        </w:rPr>
        <w:t xml:space="preserve"> no </w:t>
      </w:r>
      <w:r w:rsidR="002904C3">
        <w:rPr>
          <w:rFonts w:ascii="Times New Roman" w:hAnsi="Times New Roman" w:cs="Times New Roman"/>
          <w:sz w:val="24"/>
          <w:szCs w:val="24"/>
        </w:rPr>
        <w:t xml:space="preserve">fraudulent misrepresentation made by the applicant in relation to the advance payment guarantee as would have influenced the respondent to make the payment it did. Both parties were aware that the guarantee was yet to be availed and time lines were given for its availing. A failure to meet the deadline agreed would not amount to a fraud per se but would constitute a breach of an agreed condition. </w:t>
      </w:r>
      <w:r>
        <w:rPr>
          <w:rFonts w:ascii="Times New Roman" w:hAnsi="Times New Roman" w:cs="Times New Roman"/>
          <w:sz w:val="24"/>
          <w:szCs w:val="24"/>
        </w:rPr>
        <w:t xml:space="preserve">The </w:t>
      </w:r>
      <w:r w:rsidR="002904C3">
        <w:rPr>
          <w:rFonts w:ascii="Times New Roman" w:hAnsi="Times New Roman" w:cs="Times New Roman"/>
          <w:sz w:val="24"/>
          <w:szCs w:val="24"/>
        </w:rPr>
        <w:t xml:space="preserve">papers show that the </w:t>
      </w:r>
      <w:r>
        <w:rPr>
          <w:rFonts w:ascii="Times New Roman" w:hAnsi="Times New Roman" w:cs="Times New Roman"/>
          <w:sz w:val="24"/>
          <w:szCs w:val="24"/>
        </w:rPr>
        <w:t>applicant subsequently offered to provide a guarantee of $52 million against release of a similar amount less payments already made and the respondent refused the offer arguing that the contract had lapsed. The contract as already indicated did not lapse and apart from not providing so, the addendum extended it beyond the envisaged lapsing date of 23 October, 2017. Thus the only conclusion which is supported by the facts and circumstances of the case is that the contract No. ZPC 304/2015 neither lapsed nor was it lawfully terminated if it is so argued, by the respondent.</w:t>
      </w:r>
    </w:p>
    <w:p w:rsidR="00C774CF" w:rsidRDefault="00C774CF" w:rsidP="00C774C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relation to the order sought by the applicant, the court cannot grant the relief prayed for in the amended para 3 in which the applicant wants the court to order that the conditions precedent the satisfaction period be deemed to be relocated for 24 months from the date of judgment. The court notes that the conditions precedent are issues which may involve third parties like funding. To give time lines would take away the parties freedom to negotiate and agree on what is feasible so that the contract terms are fulfilled. The contract provides that parties should meet and review progress towards satisfaction of the conditions. It seems</w:t>
      </w:r>
      <w:r w:rsidR="0031016C">
        <w:rPr>
          <w:rFonts w:ascii="Times New Roman" w:hAnsi="Times New Roman" w:cs="Times New Roman"/>
          <w:sz w:val="24"/>
          <w:szCs w:val="24"/>
        </w:rPr>
        <w:t xml:space="preserve"> therefore</w:t>
      </w:r>
      <w:r>
        <w:rPr>
          <w:rFonts w:ascii="Times New Roman" w:hAnsi="Times New Roman" w:cs="Times New Roman"/>
          <w:sz w:val="24"/>
          <w:szCs w:val="24"/>
        </w:rPr>
        <w:t xml:space="preserve"> that a proper order to issue is one requiring the parties to meet within a given reasonable time, review progress and agree the way forward and any extensions and their duration.</w:t>
      </w:r>
      <w:r w:rsidR="002904C3">
        <w:rPr>
          <w:rFonts w:ascii="Times New Roman" w:hAnsi="Times New Roman" w:cs="Times New Roman"/>
          <w:sz w:val="24"/>
          <w:szCs w:val="24"/>
        </w:rPr>
        <w:t xml:space="preserve"> If they are deadlocked their avenue for redress is to be found in clause 20 of the conditions of the contract which provides for dispute resolution mechanism. With the current Government’s thrust that there be accelerated development to ensure the attainment of a middle income status for the country by 2030, it is hoped that key</w:t>
      </w:r>
      <w:r w:rsidR="0031016C">
        <w:rPr>
          <w:rFonts w:ascii="Times New Roman" w:hAnsi="Times New Roman" w:cs="Times New Roman"/>
          <w:sz w:val="24"/>
          <w:szCs w:val="24"/>
        </w:rPr>
        <w:t xml:space="preserve"> projects like the one involved in this case are not stalled by unnecessary bickering and extra contractual frustrations</w:t>
      </w:r>
    </w:p>
    <w:p w:rsidR="00C774CF" w:rsidRDefault="00C774CF" w:rsidP="00C774C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It is therefore ordered as follows:</w:t>
      </w:r>
    </w:p>
    <w:p w:rsidR="00C774CF" w:rsidRDefault="00C774CF" w:rsidP="00C774CF">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It be and is hereby declared that procurement contract No ZPC 304/2015 dated 23 October, 2015 between the applicant and respondent is valid a</w:t>
      </w:r>
      <w:bookmarkStart w:id="0" w:name="_GoBack"/>
      <w:bookmarkEnd w:id="0"/>
      <w:r>
        <w:rPr>
          <w:rFonts w:ascii="Times New Roman" w:hAnsi="Times New Roman" w:cs="Times New Roman"/>
          <w:sz w:val="24"/>
          <w:szCs w:val="24"/>
        </w:rPr>
        <w:t>nd binding between the parties.</w:t>
      </w:r>
    </w:p>
    <w:p w:rsidR="00C774CF" w:rsidRDefault="00C774CF" w:rsidP="00C774CF">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Consequent on the declaration of validity of the said contract, a decree of specific performance in terms thereof taking into account the addendum to the said contract dated 21 September 2017 is hereby issued.</w:t>
      </w:r>
    </w:p>
    <w:p w:rsidR="00C774CF" w:rsidRDefault="00C774CF" w:rsidP="00C774CF">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parties shall meet to review progress in regard to the discharge of their obligations in terms thereof </w:t>
      </w:r>
      <w:r w:rsidR="0031016C">
        <w:rPr>
          <w:rFonts w:ascii="Times New Roman" w:hAnsi="Times New Roman" w:cs="Times New Roman"/>
          <w:sz w:val="24"/>
          <w:szCs w:val="24"/>
        </w:rPr>
        <w:t xml:space="preserve"> as provided for in clause 5 of the contract </w:t>
      </w:r>
      <w:r>
        <w:rPr>
          <w:rFonts w:ascii="Times New Roman" w:hAnsi="Times New Roman" w:cs="Times New Roman"/>
          <w:sz w:val="24"/>
          <w:szCs w:val="24"/>
        </w:rPr>
        <w:t>within 60 days of this order failing which the party in default shall</w:t>
      </w:r>
      <w:r w:rsidR="0031016C">
        <w:rPr>
          <w:rFonts w:ascii="Times New Roman" w:hAnsi="Times New Roman" w:cs="Times New Roman"/>
          <w:sz w:val="24"/>
          <w:szCs w:val="24"/>
        </w:rPr>
        <w:t xml:space="preserve"> be</w:t>
      </w:r>
      <w:r>
        <w:rPr>
          <w:rFonts w:ascii="Times New Roman" w:hAnsi="Times New Roman" w:cs="Times New Roman"/>
          <w:sz w:val="24"/>
          <w:szCs w:val="24"/>
        </w:rPr>
        <w:t xml:space="preserve"> deemed to have repudiated the contract and liable in damages to an</w:t>
      </w:r>
      <w:r w:rsidR="0031016C">
        <w:rPr>
          <w:rFonts w:ascii="Times New Roman" w:hAnsi="Times New Roman" w:cs="Times New Roman"/>
          <w:sz w:val="24"/>
          <w:szCs w:val="24"/>
        </w:rPr>
        <w:t>d</w:t>
      </w:r>
      <w:r>
        <w:rPr>
          <w:rFonts w:ascii="Times New Roman" w:hAnsi="Times New Roman" w:cs="Times New Roman"/>
          <w:sz w:val="24"/>
          <w:szCs w:val="24"/>
        </w:rPr>
        <w:t xml:space="preserve"> at the instance of the innocent party.</w:t>
      </w:r>
    </w:p>
    <w:p w:rsidR="00C774CF" w:rsidRDefault="00C774CF" w:rsidP="00C774CF">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respondent shall bear the costs of this application.</w:t>
      </w:r>
    </w:p>
    <w:p w:rsidR="00C774CF" w:rsidRDefault="00C774CF" w:rsidP="00C774CF">
      <w:pPr>
        <w:spacing w:after="0" w:line="360" w:lineRule="auto"/>
        <w:jc w:val="both"/>
        <w:rPr>
          <w:rFonts w:ascii="Times New Roman" w:hAnsi="Times New Roman" w:cs="Times New Roman"/>
          <w:sz w:val="24"/>
          <w:szCs w:val="24"/>
        </w:rPr>
      </w:pPr>
    </w:p>
    <w:p w:rsidR="00C774CF" w:rsidRDefault="00C774CF" w:rsidP="00C774CF">
      <w:pPr>
        <w:spacing w:after="0" w:line="360" w:lineRule="auto"/>
        <w:jc w:val="both"/>
        <w:rPr>
          <w:rFonts w:ascii="Times New Roman" w:hAnsi="Times New Roman" w:cs="Times New Roman"/>
          <w:sz w:val="24"/>
          <w:szCs w:val="24"/>
        </w:rPr>
      </w:pPr>
    </w:p>
    <w:p w:rsidR="00C774CF" w:rsidRDefault="00C774CF" w:rsidP="00C774CF">
      <w:pPr>
        <w:spacing w:after="0" w:line="360" w:lineRule="auto"/>
        <w:jc w:val="both"/>
        <w:rPr>
          <w:rFonts w:ascii="Times New Roman" w:hAnsi="Times New Roman" w:cs="Times New Roman"/>
          <w:sz w:val="24"/>
          <w:szCs w:val="24"/>
        </w:rPr>
      </w:pPr>
    </w:p>
    <w:p w:rsidR="009D3E4D" w:rsidRDefault="009D3E4D" w:rsidP="00C774CF">
      <w:pPr>
        <w:spacing w:after="0" w:line="360" w:lineRule="auto"/>
        <w:jc w:val="both"/>
        <w:rPr>
          <w:rFonts w:ascii="Times New Roman" w:hAnsi="Times New Roman" w:cs="Times New Roman"/>
          <w:sz w:val="24"/>
          <w:szCs w:val="24"/>
        </w:rPr>
      </w:pPr>
    </w:p>
    <w:p w:rsidR="009D3E4D" w:rsidRDefault="009D3E4D" w:rsidP="00C774CF">
      <w:pPr>
        <w:spacing w:after="0" w:line="360" w:lineRule="auto"/>
        <w:jc w:val="both"/>
        <w:rPr>
          <w:rFonts w:ascii="Times New Roman" w:hAnsi="Times New Roman" w:cs="Times New Roman"/>
          <w:sz w:val="24"/>
          <w:szCs w:val="24"/>
        </w:rPr>
      </w:pPr>
    </w:p>
    <w:p w:rsidR="009D3E4D" w:rsidRDefault="009D3E4D" w:rsidP="00C774CF">
      <w:pPr>
        <w:spacing w:after="0" w:line="360" w:lineRule="auto"/>
        <w:jc w:val="both"/>
        <w:rPr>
          <w:rFonts w:ascii="Times New Roman" w:hAnsi="Times New Roman" w:cs="Times New Roman"/>
          <w:sz w:val="24"/>
          <w:szCs w:val="24"/>
        </w:rPr>
      </w:pPr>
    </w:p>
    <w:p w:rsidR="009D3E4D" w:rsidRDefault="009D3E4D" w:rsidP="00C774CF">
      <w:pPr>
        <w:spacing w:after="0" w:line="360" w:lineRule="auto"/>
        <w:jc w:val="both"/>
        <w:rPr>
          <w:rFonts w:ascii="Times New Roman" w:hAnsi="Times New Roman" w:cs="Times New Roman"/>
          <w:sz w:val="24"/>
          <w:szCs w:val="24"/>
        </w:rPr>
      </w:pPr>
    </w:p>
    <w:p w:rsidR="00C774CF" w:rsidRDefault="00C774CF" w:rsidP="00C774CF">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Manase &amp; Manase, </w:t>
      </w:r>
      <w:r w:rsidRPr="00F023E1">
        <w:rPr>
          <w:rFonts w:ascii="Times New Roman" w:hAnsi="Times New Roman" w:cs="Times New Roman"/>
          <w:sz w:val="24"/>
          <w:szCs w:val="24"/>
        </w:rPr>
        <w:t>applicant’s legal practitioners</w:t>
      </w:r>
    </w:p>
    <w:p w:rsidR="00C774CF" w:rsidRPr="00F023E1" w:rsidRDefault="00C774CF" w:rsidP="00C774CF">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Wintertons, </w:t>
      </w:r>
      <w:r w:rsidRPr="00F023E1">
        <w:rPr>
          <w:rFonts w:ascii="Times New Roman" w:hAnsi="Times New Roman" w:cs="Times New Roman"/>
          <w:sz w:val="24"/>
          <w:szCs w:val="24"/>
        </w:rPr>
        <w:t>respondents’ legal practitioners</w:t>
      </w:r>
    </w:p>
    <w:p w:rsidR="00C774CF" w:rsidRPr="0044563F" w:rsidRDefault="00C774CF" w:rsidP="00C774CF">
      <w:pPr>
        <w:spacing w:line="360" w:lineRule="auto"/>
        <w:jc w:val="both"/>
        <w:rPr>
          <w:rFonts w:ascii="Times New Roman" w:hAnsi="Times New Roman" w:cs="Times New Roman"/>
          <w:sz w:val="24"/>
          <w:szCs w:val="24"/>
        </w:rPr>
      </w:pPr>
    </w:p>
    <w:p w:rsidR="0011115C" w:rsidRDefault="0011115C" w:rsidP="00582621">
      <w:pPr>
        <w:spacing w:after="0" w:line="360" w:lineRule="auto"/>
        <w:ind w:firstLine="720"/>
        <w:jc w:val="both"/>
      </w:pPr>
    </w:p>
    <w:p w:rsidR="0011115C" w:rsidRDefault="0011115C" w:rsidP="00582621">
      <w:pPr>
        <w:spacing w:after="0" w:line="360" w:lineRule="auto"/>
        <w:ind w:firstLine="720"/>
        <w:jc w:val="both"/>
      </w:pPr>
    </w:p>
    <w:p w:rsidR="0011115C" w:rsidRDefault="0011115C" w:rsidP="00582621">
      <w:pPr>
        <w:spacing w:after="0" w:line="360" w:lineRule="auto"/>
        <w:ind w:firstLine="720"/>
        <w:jc w:val="both"/>
      </w:pPr>
    </w:p>
    <w:p w:rsidR="0011115C" w:rsidRDefault="0011115C" w:rsidP="00582621">
      <w:pPr>
        <w:spacing w:after="0" w:line="360" w:lineRule="auto"/>
        <w:ind w:firstLine="720"/>
        <w:jc w:val="both"/>
      </w:pPr>
    </w:p>
    <w:p w:rsidR="0011115C" w:rsidRDefault="0011115C" w:rsidP="00582621">
      <w:pPr>
        <w:spacing w:after="0" w:line="360" w:lineRule="auto"/>
        <w:ind w:firstLine="720"/>
        <w:jc w:val="both"/>
      </w:pPr>
    </w:p>
    <w:sectPr w:rsidR="0011115C">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1562" w:rsidRDefault="00FD1562" w:rsidP="005705DE">
      <w:pPr>
        <w:spacing w:after="0" w:line="240" w:lineRule="auto"/>
      </w:pPr>
      <w:r>
        <w:separator/>
      </w:r>
    </w:p>
  </w:endnote>
  <w:endnote w:type="continuationSeparator" w:id="0">
    <w:p w:rsidR="00FD1562" w:rsidRDefault="00FD1562" w:rsidP="005705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1562" w:rsidRDefault="00FD1562" w:rsidP="005705DE">
      <w:pPr>
        <w:spacing w:after="0" w:line="240" w:lineRule="auto"/>
      </w:pPr>
      <w:r>
        <w:separator/>
      </w:r>
    </w:p>
  </w:footnote>
  <w:footnote w:type="continuationSeparator" w:id="0">
    <w:p w:rsidR="00FD1562" w:rsidRDefault="00FD1562" w:rsidP="005705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5887856"/>
      <w:docPartObj>
        <w:docPartGallery w:val="Page Numbers (Top of Page)"/>
        <w:docPartUnique/>
      </w:docPartObj>
    </w:sdtPr>
    <w:sdtEndPr>
      <w:rPr>
        <w:noProof/>
      </w:rPr>
    </w:sdtEndPr>
    <w:sdtContent>
      <w:p w:rsidR="005705DE" w:rsidRDefault="005705DE">
        <w:pPr>
          <w:pStyle w:val="Header"/>
          <w:jc w:val="right"/>
          <w:rPr>
            <w:noProof/>
          </w:rPr>
        </w:pPr>
        <w:r>
          <w:fldChar w:fldCharType="begin"/>
        </w:r>
        <w:r>
          <w:instrText xml:space="preserve"> PAGE   \* MERGEFORMAT </w:instrText>
        </w:r>
        <w:r>
          <w:fldChar w:fldCharType="separate"/>
        </w:r>
        <w:r w:rsidR="00440395">
          <w:rPr>
            <w:noProof/>
          </w:rPr>
          <w:t>8</w:t>
        </w:r>
        <w:r>
          <w:rPr>
            <w:noProof/>
          </w:rPr>
          <w:fldChar w:fldCharType="end"/>
        </w:r>
      </w:p>
      <w:p w:rsidR="005705DE" w:rsidRDefault="005705DE">
        <w:pPr>
          <w:pStyle w:val="Header"/>
          <w:jc w:val="right"/>
          <w:rPr>
            <w:noProof/>
          </w:rPr>
        </w:pPr>
        <w:r>
          <w:rPr>
            <w:noProof/>
          </w:rPr>
          <w:t>HH</w:t>
        </w:r>
        <w:r w:rsidR="00440395">
          <w:rPr>
            <w:noProof/>
          </w:rPr>
          <w:t xml:space="preserve"> 818-18</w:t>
        </w:r>
      </w:p>
      <w:p w:rsidR="005705DE" w:rsidRDefault="005705DE">
        <w:pPr>
          <w:pStyle w:val="Header"/>
          <w:jc w:val="right"/>
        </w:pPr>
        <w:r>
          <w:rPr>
            <w:noProof/>
          </w:rPr>
          <w:t>HC 8159/18</w:t>
        </w:r>
      </w:p>
    </w:sdtContent>
  </w:sdt>
  <w:p w:rsidR="005705DE" w:rsidRDefault="005705D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546516"/>
    <w:multiLevelType w:val="hybridMultilevel"/>
    <w:tmpl w:val="3D6CA7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96F1523"/>
    <w:multiLevelType w:val="hybridMultilevel"/>
    <w:tmpl w:val="BD4E0308"/>
    <w:lvl w:ilvl="0" w:tplc="3B940276">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498E06CE"/>
    <w:multiLevelType w:val="hybridMultilevel"/>
    <w:tmpl w:val="9B98814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23CA"/>
    <w:rsid w:val="00017A7B"/>
    <w:rsid w:val="00037B0A"/>
    <w:rsid w:val="000B69CA"/>
    <w:rsid w:val="0011115C"/>
    <w:rsid w:val="00115097"/>
    <w:rsid w:val="001F3E16"/>
    <w:rsid w:val="002904C3"/>
    <w:rsid w:val="002D23CA"/>
    <w:rsid w:val="0031016C"/>
    <w:rsid w:val="00314EFE"/>
    <w:rsid w:val="0035765D"/>
    <w:rsid w:val="003834B9"/>
    <w:rsid w:val="00440395"/>
    <w:rsid w:val="00450D32"/>
    <w:rsid w:val="004E1E86"/>
    <w:rsid w:val="00531D9A"/>
    <w:rsid w:val="005705DE"/>
    <w:rsid w:val="00582621"/>
    <w:rsid w:val="005E0B01"/>
    <w:rsid w:val="006068C9"/>
    <w:rsid w:val="006A3624"/>
    <w:rsid w:val="007E4BF5"/>
    <w:rsid w:val="00950062"/>
    <w:rsid w:val="00980FB8"/>
    <w:rsid w:val="00994984"/>
    <w:rsid w:val="009D3E4D"/>
    <w:rsid w:val="00A02E18"/>
    <w:rsid w:val="00A602F6"/>
    <w:rsid w:val="00BB24B3"/>
    <w:rsid w:val="00BB4A80"/>
    <w:rsid w:val="00BF620D"/>
    <w:rsid w:val="00C20CB4"/>
    <w:rsid w:val="00C774CF"/>
    <w:rsid w:val="00E54830"/>
    <w:rsid w:val="00ED0486"/>
    <w:rsid w:val="00FC5B8A"/>
    <w:rsid w:val="00FD15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3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4A80"/>
    <w:pPr>
      <w:ind w:left="720"/>
      <w:contextualSpacing/>
    </w:pPr>
  </w:style>
  <w:style w:type="paragraph" w:styleId="Header">
    <w:name w:val="header"/>
    <w:basedOn w:val="Normal"/>
    <w:link w:val="HeaderChar"/>
    <w:uiPriority w:val="99"/>
    <w:unhideWhenUsed/>
    <w:rsid w:val="005705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05DE"/>
  </w:style>
  <w:style w:type="paragraph" w:styleId="Footer">
    <w:name w:val="footer"/>
    <w:basedOn w:val="Normal"/>
    <w:link w:val="FooterChar"/>
    <w:uiPriority w:val="99"/>
    <w:unhideWhenUsed/>
    <w:rsid w:val="005705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05DE"/>
  </w:style>
  <w:style w:type="paragraph" w:styleId="BalloonText">
    <w:name w:val="Balloon Text"/>
    <w:basedOn w:val="Normal"/>
    <w:link w:val="BalloonTextChar"/>
    <w:uiPriority w:val="99"/>
    <w:semiHidden/>
    <w:unhideWhenUsed/>
    <w:rsid w:val="005705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05D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3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4A80"/>
    <w:pPr>
      <w:ind w:left="720"/>
      <w:contextualSpacing/>
    </w:pPr>
  </w:style>
  <w:style w:type="paragraph" w:styleId="Header">
    <w:name w:val="header"/>
    <w:basedOn w:val="Normal"/>
    <w:link w:val="HeaderChar"/>
    <w:uiPriority w:val="99"/>
    <w:unhideWhenUsed/>
    <w:rsid w:val="005705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05DE"/>
  </w:style>
  <w:style w:type="paragraph" w:styleId="Footer">
    <w:name w:val="footer"/>
    <w:basedOn w:val="Normal"/>
    <w:link w:val="FooterChar"/>
    <w:uiPriority w:val="99"/>
    <w:unhideWhenUsed/>
    <w:rsid w:val="005705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05DE"/>
  </w:style>
  <w:style w:type="paragraph" w:styleId="BalloonText">
    <w:name w:val="Balloon Text"/>
    <w:basedOn w:val="Normal"/>
    <w:link w:val="BalloonTextChar"/>
    <w:uiPriority w:val="99"/>
    <w:semiHidden/>
    <w:unhideWhenUsed/>
    <w:rsid w:val="005705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05D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67EB81-365A-4D07-B765-A8765BEEC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9583</Words>
  <Characters>54626</Characters>
  <Application>Microsoft Office Word</Application>
  <DocSecurity>0</DocSecurity>
  <Lines>455</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Zulu</dc:creator>
  <cp:lastModifiedBy>Zulu</cp:lastModifiedBy>
  <cp:revision>2</cp:revision>
  <cp:lastPrinted>2018-12-13T09:07:00Z</cp:lastPrinted>
  <dcterms:created xsi:type="dcterms:W3CDTF">2018-12-13T13:52:00Z</dcterms:created>
  <dcterms:modified xsi:type="dcterms:W3CDTF">2018-12-13T13:52:00Z</dcterms:modified>
</cp:coreProperties>
</file>